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jc w:val="left"/>
        <w:rPr>
          <w:rFonts w:ascii="Avenir Next" w:hAnsi="Avenir Next"/>
          <w:sz w:val="22"/>
          <w:szCs w:val="22"/>
        </w:rPr>
      </w:pPr>
      <w:r>
        <w:rPr>
          <w:rFonts w:ascii="Avenir Next" w:hAnsi="Avenir Next"/>
          <w:sz w:val="22"/>
          <w:szCs w:val="22"/>
        </w:rPr>
        <w:br/>
        <w:t>Published 12 August 2022</w:t>
      </w:r>
    </w:p>
    <w:p>
      <w:pPr>
        <w:sectPr>
          <w:type w:val="nextPage"/>
          <w:pgSz w:w="11906" w:h="16838"/>
          <w:pgMar w:left="1134" w:right="1134" w:gutter="0" w:header="0" w:top="1134" w:footer="0" w:bottom="1134"/>
          <w:pgNumType w:fmt="decimal"/>
          <w:formProt w:val="false"/>
          <w:textDirection w:val="lrTb"/>
        </w:sectPr>
      </w:pPr>
    </w:p>
    <w:p>
      <w:pPr>
        <w:pStyle w:val="Heading2"/>
        <w:bidi w:val="0"/>
        <w:ind w:left="0" w:right="0" w:hanging="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Contents</w:t>
      </w:r>
    </w:p>
    <w:p>
      <w:pPr>
        <w:pStyle w:val="TextBody"/>
        <w:numPr>
          <w:ilvl w:val="0"/>
          <w:numId w:val="1"/>
        </w:numPr>
        <w:tabs>
          <w:tab w:val="clear" w:pos="420"/>
          <w:tab w:val="left" w:pos="707" w:leader="none"/>
        </w:tabs>
        <w:bidi w:val="0"/>
        <w:spacing w:before="0" w:after="0"/>
        <w:ind w:left="707" w:hanging="283"/>
        <w:jc w:val="left"/>
        <w:rPr/>
      </w:pPr>
      <w:hyperlink w:anchor="uk-health-security-agency-strategic-remit-and-priorities">
        <w:r>
          <w:rPr>
            <w:rStyle w:val="InternetLink"/>
            <w:rFonts w:ascii="webkit-standard" w:hAnsi="webkit-standard"/>
            <w:b w:val="false"/>
            <w:i w:val="false"/>
            <w:caps w:val="false"/>
            <w:smallCaps w:val="false"/>
            <w:color w:val="000000"/>
            <w:spacing w:val="0"/>
          </w:rPr>
          <w:t>UK Health Security Agency strategic remit and priorities</w:t>
        </w:r>
      </w:hyperlink>
    </w:p>
    <w:p>
      <w:pPr>
        <w:pStyle w:val="TextBody"/>
        <w:numPr>
          <w:ilvl w:val="0"/>
          <w:numId w:val="1"/>
        </w:numPr>
        <w:tabs>
          <w:tab w:val="clear" w:pos="420"/>
          <w:tab w:val="left" w:pos="707" w:leader="none"/>
        </w:tabs>
        <w:bidi w:val="0"/>
        <w:spacing w:before="0" w:after="0"/>
        <w:ind w:left="707" w:hanging="283"/>
        <w:jc w:val="left"/>
        <w:rPr/>
      </w:pPr>
      <w:hyperlink w:anchor="ukhsas-core-remit">
        <w:r>
          <w:rPr>
            <w:rStyle w:val="InternetLink"/>
            <w:rFonts w:ascii="webkit-standard" w:hAnsi="webkit-standard"/>
            <w:b w:val="false"/>
            <w:i w:val="false"/>
            <w:caps w:val="false"/>
            <w:smallCaps w:val="false"/>
            <w:color w:val="000000"/>
            <w:spacing w:val="0"/>
          </w:rPr>
          <w:t>UKHSA’s core remit</w:t>
        </w:r>
      </w:hyperlink>
    </w:p>
    <w:p>
      <w:pPr>
        <w:pStyle w:val="TextBody"/>
        <w:numPr>
          <w:ilvl w:val="0"/>
          <w:numId w:val="1"/>
        </w:numPr>
        <w:tabs>
          <w:tab w:val="clear" w:pos="420"/>
          <w:tab w:val="left" w:pos="707" w:leader="none"/>
        </w:tabs>
        <w:bidi w:val="0"/>
        <w:spacing w:before="0" w:after="0"/>
        <w:ind w:left="707" w:hanging="283"/>
        <w:jc w:val="left"/>
        <w:rPr/>
      </w:pPr>
      <w:hyperlink w:anchor="ukhsas-priorities-for-2022-to-2023">
        <w:r>
          <w:rPr>
            <w:rStyle w:val="InternetLink"/>
            <w:rFonts w:ascii="webkit-standard" w:hAnsi="webkit-standard"/>
            <w:b w:val="false"/>
            <w:i w:val="false"/>
            <w:caps w:val="false"/>
            <w:smallCaps w:val="false"/>
            <w:color w:val="000000"/>
            <w:spacing w:val="0"/>
          </w:rPr>
          <w:t>UKHSA’s priorities for 2022 to 2023</w:t>
        </w:r>
      </w:hyperlink>
    </w:p>
    <w:p>
      <w:pPr>
        <w:pStyle w:val="TextBody"/>
        <w:numPr>
          <w:ilvl w:val="0"/>
          <w:numId w:val="1"/>
        </w:numPr>
        <w:tabs>
          <w:tab w:val="clear" w:pos="420"/>
          <w:tab w:val="left" w:pos="707" w:leader="none"/>
        </w:tabs>
        <w:bidi w:val="0"/>
        <w:ind w:left="707" w:hanging="283"/>
        <w:jc w:val="left"/>
        <w:rPr/>
      </w:pPr>
      <w:hyperlink w:anchor="annex-a-detailed-priorities-for-ukhsa-in-2022-to-2023">
        <w:r>
          <w:rPr>
            <w:rStyle w:val="InternetLink"/>
            <w:rFonts w:ascii="webkit-standard" w:hAnsi="webkit-standard"/>
            <w:b w:val="false"/>
            <w:i w:val="false"/>
            <w:caps w:val="false"/>
            <w:smallCaps w:val="false"/>
            <w:color w:val="000000"/>
            <w:spacing w:val="0"/>
          </w:rPr>
          <w:t>Annex A: detailed priorities for UKHSA in 2022 to 2023</w:t>
        </w:r>
      </w:hyperlink>
    </w:p>
    <w:p>
      <w:pPr>
        <w:pStyle w:val="TextBody"/>
        <w:bidi w:val="0"/>
        <w:jc w:val="left"/>
        <w:rPr>
          <w:caps w:val="false"/>
          <w:smallCaps w:val="false"/>
          <w:color w:val="000000"/>
          <w:spacing w:val="0"/>
        </w:rPr>
      </w:pPr>
      <w:r>
        <w:rPr>
          <w:caps w:val="false"/>
          <w:smallCaps w:val="false"/>
          <w:color w:val="000000"/>
          <w:spacing w:val="0"/>
        </w:rPr>
        <w:drawing>
          <wp:inline distT="0" distB="0" distL="0" distR="0">
            <wp:extent cx="718820" cy="35941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link="rId2"/>
                    <a:stretch>
                      <a:fillRect/>
                    </a:stretch>
                  </pic:blipFill>
                  <pic:spPr bwMode="auto">
                    <a:xfrm>
                      <a:off x="0" y="0"/>
                      <a:ext cx="718820" cy="359410"/>
                    </a:xfrm>
                    <a:prstGeom prst="rect">
                      <a:avLst/>
                    </a:prstGeom>
                  </pic:spPr>
                </pic:pic>
              </a:graphicData>
            </a:graphic>
          </wp:inline>
        </w:drawing>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 Crown copyright 2022</w:t>
      </w:r>
    </w:p>
    <w:p>
      <w:pPr>
        <w:pStyle w:val="TextBody"/>
        <w:bidi w:val="0"/>
        <w:spacing w:lineRule="auto" w:line="276" w:before="0" w:after="140"/>
        <w:jc w:val="left"/>
        <w:rPr/>
      </w:pPr>
      <w:r>
        <w:rPr>
          <w:rFonts w:ascii="webkit-standard" w:hAnsi="webkit-standard"/>
          <w:b w:val="false"/>
          <w:i w:val="false"/>
          <w:caps w:val="false"/>
          <w:smallCaps w:val="false"/>
          <w:color w:val="000000"/>
          <w:spacing w:val="0"/>
        </w:rPr>
        <w:t>This publication is licensed under the terms of the Open Government Licence v3.0 except where otherwise stated. To view this licence, visit </w:t>
      </w:r>
      <w:hyperlink r:id="rId3">
        <w:r>
          <w:rPr>
            <w:rStyle w:val="InternetLink"/>
            <w:rFonts w:ascii="webkit-standard" w:hAnsi="webkit-standard"/>
            <w:b w:val="false"/>
            <w:i w:val="false"/>
            <w:caps w:val="false"/>
            <w:smallCaps w:val="false"/>
            <w:color w:val="000000"/>
            <w:spacing w:val="0"/>
          </w:rPr>
          <w:t>nationalarchives.gov.uk/doc/open-government-licence/version/3</w:t>
        </w:r>
      </w:hyperlink>
      <w:r>
        <w:rPr>
          <w:rFonts w:ascii="webkit-standard" w:hAnsi="webkit-standard"/>
          <w:b w:val="false"/>
          <w:i w:val="false"/>
          <w:caps w:val="false"/>
          <w:smallCaps w:val="false"/>
          <w:color w:val="000000"/>
          <w:spacing w:val="0"/>
        </w:rPr>
        <w:t> or write to the Information Policy Team, The National Archives, Kew, London TW9 4DU, or email: </w:t>
      </w:r>
      <w:hyperlink r:id="rId4">
        <w:r>
          <w:rPr>
            <w:rStyle w:val="InternetLink"/>
            <w:rFonts w:ascii="webkit-standard" w:hAnsi="webkit-standard"/>
            <w:b w:val="false"/>
            <w:i w:val="false"/>
            <w:caps w:val="false"/>
            <w:smallCaps w:val="false"/>
            <w:color w:val="000000"/>
            <w:spacing w:val="0"/>
          </w:rPr>
          <w:t>psi@nationalarchives.gov.uk</w:t>
        </w:r>
      </w:hyperlink>
      <w:r>
        <w:rPr>
          <w:rFonts w:ascii="webkit-standard" w:hAnsi="webkit-standard"/>
          <w:b w:val="false"/>
          <w:i w:val="false"/>
          <w:caps w:val="false"/>
          <w:smallCaps w:val="false"/>
          <w:color w:val="000000"/>
          <w:spacing w:val="0"/>
        </w:rPr>
        <w:t>.</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Where we have identified any third party copyright information you will need to obtain permission from the copyright holders concerned.</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This publication is available at https://www.gov.uk/government/publications/ukhsa-priorities-in-2022-to-2023/letter-from-maggie-throup-to-professor-dame-jenny-harries-ukhsa-chief-executive</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From:</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office of Maggie Throup </w:t>
        <w:br/>
        <w:t>Parliamentary Under Secretary of State for Vaccines and Public Health </w:t>
        <w:br/>
        <w:t>39 Victoria Street </w:t>
        <w:br/>
        <w:t>London </w:t>
        <w:br/>
        <w:t>SW1H 0EU </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To:</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Professor Dame Jenny Harries </w:t>
        <w:br/>
        <w:t>Chief Executive </w:t>
        <w:br/>
        <w:t>UK Health Security Agency </w:t>
        <w:br/>
        <w:t>Nobel House </w:t>
        <w:br/>
        <w:t>17 Smith Square </w:t>
        <w:br/>
        <w:t>London </w:t>
        <w:br/>
        <w:t>SW1P 3HQ </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Dear Jenny,</w:t>
      </w:r>
    </w:p>
    <w:p>
      <w:pPr>
        <w:pStyle w:val="Heading2"/>
        <w:bidi w:val="0"/>
        <w:jc w:val="left"/>
        <w:rPr>
          <w:caps w:val="false"/>
          <w:smallCaps w:val="false"/>
          <w:color w:val="000000"/>
          <w:spacing w:val="0"/>
        </w:rPr>
      </w:pPr>
      <w:bookmarkStart w:id="0" w:name="uk-health-security-agency-strategic-remi"/>
      <w:bookmarkEnd w:id="0"/>
      <w:r>
        <w:rPr>
          <w:caps w:val="false"/>
          <w:smallCaps w:val="false"/>
          <w:color w:val="000000"/>
          <w:spacing w:val="0"/>
        </w:rPr>
        <w:t> </w:t>
      </w:r>
      <w:r>
        <w:rPr>
          <w:rFonts w:ascii="webkit-standard" w:hAnsi="webkit-standard"/>
          <w:b w:val="false"/>
          <w:i w:val="false"/>
          <w:caps w:val="false"/>
          <w:smallCaps w:val="false"/>
          <w:color w:val="000000"/>
          <w:spacing w:val="0"/>
        </w:rPr>
        <w:t>Health Security Agency strategic remit and priorities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This letter sets out the government’s priorities for the United Kingdom Health Security Agency () for the period April 2022 to March 2023. Given the urgent work on the Omicron response and the implications for the spending review, which were agreed in late March, I acknowledge with thanks your work in the last 4 months before this letter has been issued.</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has brought together staff and capabilities of NHS Test and Trace, the health protection elements of Public Health England, the Joint Biosecurity Centre and, since April 2022, the Managed Quarantine Service to strengthen health protection capability across the .</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 would like to thank all ’s staff for their:</w:t>
      </w:r>
    </w:p>
    <w:p>
      <w:pPr>
        <w:pStyle w:val="TextBody"/>
        <w:numPr>
          <w:ilvl w:val="0"/>
          <w:numId w:val="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tireless efforts to establish the agency in a complex and challenging context</w:t>
      </w:r>
    </w:p>
    <w:p>
      <w:pPr>
        <w:pStyle w:val="TextBody"/>
        <w:numPr>
          <w:ilvl w:val="0"/>
          <w:numId w:val="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significant achievements in responding to coronavirus (COVID-19), and in other areas including monkeypox, hepatitis C and HIV</w:t>
      </w:r>
    </w:p>
    <w:p>
      <w:pPr>
        <w:pStyle w:val="TextBody"/>
        <w:numPr>
          <w:ilvl w:val="0"/>
          <w:numId w:val="2"/>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work to build relationships with partners across the health and care system, government and the </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is our permanent standing capacity to prepare for, prevent and respond to threats to health. Its responsibilities are for England, across the  on reserved health matters, and in partnership with lead agencies in Scotland, Wales and Northern Ireland on devolved issues where relevant.</w:t>
      </w:r>
    </w:p>
    <w:p>
      <w:pPr>
        <w:pStyle w:val="TextBody"/>
        <w:bidi w:val="0"/>
        <w:spacing w:lineRule="auto" w:line="276" w:before="0" w:after="140"/>
        <w:jc w:val="left"/>
        <w:rPr/>
      </w:pPr>
      <w:r>
        <w:rPr>
          <w:rFonts w:ascii="webkit-standard" w:hAnsi="webkit-standard"/>
          <w:b w:val="false"/>
          <w:i w:val="false"/>
          <w:caps w:val="false"/>
          <w:smallCaps w:val="false"/>
          <w:color w:val="000000"/>
          <w:spacing w:val="0"/>
        </w:rPr>
        <w:t>Since its creation,  has necessarily dedicated a significant proportion of its time and expertise towards responding to COVID-19. The agency’s capacity to continue to respond to resurgences and new COVID-19 variants is being maintained in line with the government’s </w:t>
      </w:r>
      <w:hyperlink r:id="rId5">
        <w:r>
          <w:rPr>
            <w:rStyle w:val="InternetLink"/>
            <w:rFonts w:ascii="webkit-standard" w:hAnsi="webkit-standard"/>
            <w:b w:val="false"/>
            <w:i w:val="false"/>
            <w:caps w:val="false"/>
            <w:smallCaps w:val="false"/>
            <w:color w:val="000000"/>
            <w:spacing w:val="0"/>
          </w:rPr>
          <w:t>COVID-19 Response: Living with COVID-19</w:t>
        </w:r>
      </w:hyperlink>
      <w:r>
        <w:rPr>
          <w:rFonts w:ascii="webkit-standard" w:hAnsi="webkit-standard"/>
          <w:b w:val="false"/>
          <w:i w:val="false"/>
          <w:caps w:val="false"/>
          <w:smallCaps w:val="false"/>
          <w:color w:val="000000"/>
          <w:spacing w:val="0"/>
        </w:rPr>
        <w:t> strategy, and this capacity to respond is scalable within funding limits. This is enabling  to continue the response to COVID-19 alongside focusing on a broader range of health security priorities during the year ahead.</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agreed in principle, the transfer of responsibilities of the Vaccine Taskforce () from September 2022 to  provides an opportunity for  to harness the strengths of the , including its:</w:t>
      </w:r>
    </w:p>
    <w:p>
      <w:pPr>
        <w:pStyle w:val="TextBody"/>
        <w:numPr>
          <w:ilvl w:val="0"/>
          <w:numId w:val="3"/>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excellent relationships with industry</w:t>
      </w:r>
    </w:p>
    <w:p>
      <w:pPr>
        <w:pStyle w:val="TextBody"/>
        <w:numPr>
          <w:ilvl w:val="0"/>
          <w:numId w:val="3"/>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culture of delivering at pace</w:t>
      </w:r>
    </w:p>
    <w:p>
      <w:pPr>
        <w:pStyle w:val="TextBody"/>
        <w:numPr>
          <w:ilvl w:val="0"/>
          <w:numId w:val="3"/>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expertise in innovation</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Once responsibilities have been moved to , progress will be assessed at an agreed point in the year.</w:t>
      </w:r>
    </w:p>
    <w:p>
      <w:pPr>
        <w:pStyle w:val="Heading2"/>
        <w:bidi w:val="0"/>
        <w:jc w:val="left"/>
        <w:rPr>
          <w:caps w:val="false"/>
          <w:smallCaps w:val="false"/>
          <w:color w:val="000000"/>
          <w:spacing w:val="0"/>
        </w:rPr>
      </w:pPr>
      <w:bookmarkStart w:id="1" w:name="ukhsas-core-remit"/>
      <w:bookmarkEnd w:id="1"/>
      <w:r>
        <w:rPr>
          <w:caps w:val="false"/>
          <w:smallCaps w:val="false"/>
          <w:color w:val="000000"/>
          <w:spacing w:val="0"/>
        </w:rPr>
        <w:t>’</w:t>
      </w:r>
      <w:r>
        <w:rPr>
          <w:rFonts w:ascii="webkit-standard" w:hAnsi="webkit-standard"/>
          <w:b w:val="false"/>
          <w:i w:val="false"/>
          <w:caps w:val="false"/>
          <w:smallCaps w:val="false"/>
          <w:color w:val="000000"/>
          <w:spacing w:val="0"/>
        </w:rPr>
        <w:t>s core remit</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Department of Health and Social Care () delivers its responsibilities on behalf of the Secretary of State for Health and Social Care through  and other delivery partners, and is accountable to Parliament for effective delivery of their remit and services.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an executive agency of the  with operational autonomy,  will:</w:t>
      </w:r>
    </w:p>
    <w:p>
      <w:pPr>
        <w:pStyle w:val="TextBody"/>
        <w:numPr>
          <w:ilvl w:val="0"/>
          <w:numId w:val="4"/>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strong national leadership on health security and health protection</w:t>
      </w:r>
    </w:p>
    <w:p>
      <w:pPr>
        <w:pStyle w:val="TextBody"/>
        <w:numPr>
          <w:ilvl w:val="0"/>
          <w:numId w:val="4"/>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a cohesive response across public health functions</w:t>
      </w:r>
    </w:p>
    <w:p>
      <w:pPr>
        <w:pStyle w:val="TextBody"/>
        <w:numPr>
          <w:ilvl w:val="0"/>
          <w:numId w:val="4"/>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embed effective clinical, scientific and operational functions in the public health system</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develop its global-to-local reach, working with international and domestic partners, and combining robust science and analytics, insightful planning and responsive operational excellence, to keep the nation’s health secure.</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the nation’s expert dedicated health security agency,  will:</w:t>
      </w:r>
    </w:p>
    <w:p>
      <w:pPr>
        <w:pStyle w:val="TextBody"/>
        <w:numPr>
          <w:ilvl w:val="0"/>
          <w:numId w:val="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prevent: anticipate threats to health and help build the nation’s readiness, defences, and domestic and global health security</w:t>
      </w:r>
    </w:p>
    <w:p>
      <w:pPr>
        <w:pStyle w:val="TextBody"/>
        <w:numPr>
          <w:ilvl w:val="0"/>
          <w:numId w:val="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detect: use environmental, digital and biological surveillance to proactively detect and monitor infectious diseases and threats to health</w:t>
      </w:r>
    </w:p>
    <w:p>
      <w:pPr>
        <w:pStyle w:val="TextBody"/>
        <w:numPr>
          <w:ilvl w:val="0"/>
          <w:numId w:val="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analyse: use science and data analytics to assess and continually monitor threats to health, identifying how best to control and mitigate risks and impacts across all communities</w:t>
      </w:r>
    </w:p>
    <w:p>
      <w:pPr>
        <w:pStyle w:val="TextBody"/>
        <w:numPr>
          <w:ilvl w:val="0"/>
          <w:numId w:val="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respond: take rapid, collaborative and effective actions globally, nationally and locally to mitigate and recover from threats to health when they materialise</w:t>
      </w:r>
    </w:p>
    <w:p>
      <w:pPr>
        <w:pStyle w:val="TextBody"/>
        <w:numPr>
          <w:ilvl w:val="0"/>
          <w:numId w:val="5"/>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lead: lead strong and sustainable global, national, regional and local partnerships designed to save lives, protect the nation from public health threats, and systematically reduce disparities at scale</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be expected to align with and, wherever applicable, input to relevant cross-system work including:</w:t>
      </w:r>
    </w:p>
    <w:p>
      <w:pPr>
        <w:pStyle w:val="TextBody"/>
        <w:numPr>
          <w:ilvl w:val="0"/>
          <w:numId w:val="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manifesto commitments</w:t>
      </w:r>
    </w:p>
    <w:p>
      <w:pPr>
        <w:pStyle w:val="TextBody"/>
        <w:numPr>
          <w:ilvl w:val="0"/>
          <w:numId w:val="6"/>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the </w:t>
      </w:r>
      <w:hyperlink r:id="rId6">
        <w:r>
          <w:rPr>
            <w:rStyle w:val="InternetLink"/>
            <w:rFonts w:ascii="webkit-standard" w:hAnsi="webkit-standard"/>
            <w:b w:val="false"/>
            <w:i w:val="false"/>
            <w:caps w:val="false"/>
            <w:smallCaps w:val="false"/>
            <w:color w:val="000000"/>
            <w:spacing w:val="0"/>
          </w:rPr>
          <w:t>COVID-19 Response: Living with COVID-19</w:t>
        </w:r>
      </w:hyperlink>
      <w:r>
        <w:rPr>
          <w:rFonts w:ascii="webkit-standard" w:hAnsi="webkit-standard"/>
          <w:b w:val="false"/>
          <w:i w:val="false"/>
          <w:caps w:val="false"/>
          <w:smallCaps w:val="false"/>
          <w:color w:val="000000"/>
          <w:spacing w:val="0"/>
        </w:rPr>
        <w:t> strategy</w:t>
      </w:r>
    </w:p>
    <w:p>
      <w:pPr>
        <w:pStyle w:val="TextBody"/>
        <w:numPr>
          <w:ilvl w:val="0"/>
          <w:numId w:val="6"/>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the </w:t>
      </w:r>
      <w:hyperlink r:id="rId7">
        <w:r>
          <w:rPr>
            <w:rStyle w:val="InternetLink"/>
            <w:rFonts w:ascii="webkit-standard" w:hAnsi="webkit-standard"/>
            <w:b w:val="false"/>
            <w:i w:val="false"/>
            <w:caps w:val="false"/>
            <w:smallCaps w:val="false"/>
            <w:color w:val="000000"/>
            <w:spacing w:val="0"/>
          </w:rPr>
          <w:t>Levelling Up the United Kingdom</w:t>
        </w:r>
      </w:hyperlink>
      <w:r>
        <w:rPr>
          <w:rFonts w:ascii="webkit-standard" w:hAnsi="webkit-standard"/>
          <w:b w:val="false"/>
          <w:i w:val="false"/>
          <w:caps w:val="false"/>
          <w:smallCaps w:val="false"/>
          <w:color w:val="000000"/>
          <w:spacing w:val="0"/>
        </w:rPr>
        <w:t> agenda</w:t>
      </w:r>
    </w:p>
    <w:p>
      <w:pPr>
        <w:pStyle w:val="TextBody"/>
        <w:numPr>
          <w:ilvl w:val="0"/>
          <w:numId w:val="6"/>
        </w:numPr>
        <w:tabs>
          <w:tab w:val="clear" w:pos="420"/>
          <w:tab w:val="left" w:pos="707" w:leader="none"/>
        </w:tabs>
        <w:bidi w:val="0"/>
        <w:spacing w:before="0" w:after="0"/>
        <w:ind w:left="707" w:hanging="283"/>
        <w:jc w:val="left"/>
        <w:rPr/>
      </w:pPr>
      <w:r>
        <w:rPr>
          <w:caps w:val="false"/>
          <w:smallCaps w:val="false"/>
          <w:color w:val="000000"/>
          <w:spacing w:val="0"/>
        </w:rPr>
        <w:t>’</w:t>
      </w:r>
      <w:r>
        <w:rPr>
          <w:rFonts w:ascii="webkit-standard" w:hAnsi="webkit-standard"/>
          <w:b w:val="false"/>
          <w:i w:val="false"/>
          <w:caps w:val="false"/>
          <w:smallCaps w:val="false"/>
          <w:color w:val="000000"/>
          <w:spacing w:val="0"/>
        </w:rPr>
        <w:t>s </w:t>
      </w:r>
      <w:hyperlink r:id="rId8">
        <w:r>
          <w:rPr>
            <w:rStyle w:val="InternetLink"/>
            <w:rFonts w:ascii="webkit-standard" w:hAnsi="webkit-standard"/>
            <w:b w:val="false"/>
            <w:i w:val="false"/>
            <w:caps w:val="false"/>
            <w:smallCaps w:val="false"/>
            <w:color w:val="000000"/>
            <w:spacing w:val="0"/>
          </w:rPr>
          <w:t>Outcome Delivery Plan 2021 to 2022</w:t>
        </w:r>
      </w:hyperlink>
    </w:p>
    <w:p>
      <w:pPr>
        <w:pStyle w:val="TextBody"/>
        <w:numPr>
          <w:ilvl w:val="0"/>
          <w:numId w:val="6"/>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the </w:t>
      </w:r>
      <w:hyperlink r:id="rId9">
        <w:r>
          <w:rPr>
            <w:rStyle w:val="InternetLink"/>
            <w:rFonts w:ascii="webkit-standard" w:hAnsi="webkit-standard"/>
            <w:b w:val="false"/>
            <w:i w:val="false"/>
            <w:caps w:val="false"/>
            <w:smallCaps w:val="false"/>
            <w:color w:val="000000"/>
            <w:spacing w:val="0"/>
          </w:rPr>
          <w:t>NHS Long-Term Plan</w:t>
        </w:r>
      </w:hyperlink>
    </w:p>
    <w:p>
      <w:pPr>
        <w:pStyle w:val="TextBody"/>
        <w:numPr>
          <w:ilvl w:val="0"/>
          <w:numId w:val="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health disparities white paper</w:t>
      </w:r>
    </w:p>
    <w:p>
      <w:pPr>
        <w:pStyle w:val="TextBody"/>
        <w:numPr>
          <w:ilvl w:val="0"/>
          <w:numId w:val="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vaccines future operating model</w:t>
      </w:r>
    </w:p>
    <w:p>
      <w:pPr>
        <w:pStyle w:val="TextBody"/>
        <w:numPr>
          <w:ilvl w:val="0"/>
          <w:numId w:val="6"/>
        </w:numPr>
        <w:tabs>
          <w:tab w:val="clear" w:pos="420"/>
          <w:tab w:val="left" w:pos="707" w:leader="none"/>
        </w:tabs>
        <w:bidi w:val="0"/>
        <w:spacing w:before="0" w:after="0"/>
        <w:ind w:left="707" w:hanging="283"/>
        <w:jc w:val="left"/>
        <w:rPr/>
      </w:pPr>
      <w:hyperlink r:id="rId10">
        <w:r>
          <w:rPr>
            <w:rStyle w:val="InternetLink"/>
            <w:rFonts w:ascii="webkit-standard" w:hAnsi="webkit-standard"/>
            <w:b w:val="false"/>
            <w:i w:val="false"/>
            <w:caps w:val="false"/>
            <w:smallCaps w:val="false"/>
            <w:color w:val="000000"/>
            <w:spacing w:val="0"/>
          </w:rPr>
          <w:t>Global Britain in a Competitive Age: the Integrated Review of Security, Defence, Development and Foreign Policy</w:t>
        </w:r>
      </w:hyperlink>
    </w:p>
    <w:p>
      <w:pPr>
        <w:pStyle w:val="TextBody"/>
        <w:numPr>
          <w:ilvl w:val="0"/>
          <w:numId w:val="6"/>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the </w:t>
      </w:r>
      <w:hyperlink r:id="rId11">
        <w:r>
          <w:rPr>
            <w:rStyle w:val="InternetLink"/>
            <w:rFonts w:ascii="webkit-standard" w:hAnsi="webkit-standard"/>
            <w:b w:val="false"/>
            <w:i w:val="false"/>
            <w:caps w:val="false"/>
            <w:smallCaps w:val="false"/>
            <w:color w:val="000000"/>
            <w:spacing w:val="0"/>
          </w:rPr>
          <w:t> government’s strategy for international development</w:t>
        </w:r>
      </w:hyperlink>
    </w:p>
    <w:p>
      <w:pPr>
        <w:pStyle w:val="TextBody"/>
        <w:numPr>
          <w:ilvl w:val="0"/>
          <w:numId w:val="6"/>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development of the ’s future relationships with the  and the rest of the world</w:t>
      </w:r>
    </w:p>
    <w:p>
      <w:pPr>
        <w:pStyle w:val="TextBody"/>
        <w:bidi w:val="0"/>
        <w:jc w:val="left"/>
        <w:rPr/>
      </w:pPr>
      <w:r>
        <w:rPr>
          <w:caps w:val="false"/>
          <w:smallCaps w:val="false"/>
          <w:color w:val="000000"/>
          <w:spacing w:val="0"/>
        </w:rPr>
        <w:t> </w:t>
      </w:r>
      <w:r>
        <w:rPr>
          <w:rFonts w:ascii="webkit-standard" w:hAnsi="webkit-standard"/>
          <w:b w:val="false"/>
          <w:i w:val="false"/>
          <w:caps w:val="false"/>
          <w:smallCaps w:val="false"/>
          <w:color w:val="000000"/>
          <w:spacing w:val="0"/>
        </w:rPr>
        <w:t>will co-ordinate closely with the Office for Life Sciences to support delivery of the government’s </w:t>
      </w:r>
      <w:hyperlink r:id="rId12">
        <w:r>
          <w:rPr>
            <w:rStyle w:val="InternetLink"/>
            <w:rFonts w:ascii="webkit-standard" w:hAnsi="webkit-standard"/>
            <w:b w:val="false"/>
            <w:i w:val="false"/>
            <w:caps w:val="false"/>
            <w:smallCaps w:val="false"/>
            <w:color w:val="000000"/>
            <w:spacing w:val="0"/>
          </w:rPr>
          <w:t>Life Sciences Vision</w:t>
        </w:r>
      </w:hyperlink>
      <w:r>
        <w:rPr>
          <w:rFonts w:ascii="webkit-standard" w:hAnsi="webkit-standard"/>
          <w:b w:val="false"/>
          <w:i w:val="false"/>
          <w:caps w:val="false"/>
          <w:smallCaps w:val="false"/>
          <w:color w:val="000000"/>
          <w:spacing w:val="0"/>
        </w:rPr>
        <w:t> including the healthcare missions, and with  on global health security policy. Research will be a high priority, including through collaborative programmes with academia and industry, particularly playing an important role in signalling to research funders key priorities for research.</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be proactive in its approach to infection control and collaborate effectively across the public health system in order to prepare for, respond to and recover from all health hazards. This will involve building and sustaining strong, impactful relationships across local and national government, including with agencies in Scotland, Wales, Northern Ireland, the Crown dependencies, local authorities and other system partners across the  to ensure threats are effectively identified, mitigated and addressed at home and abroad.</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agency will work alongside  – including the Office for Health Improvement and Disparities (), NHS England () and NHS public health teams – on priority programmes.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also set out how it will work with tripartite partners ( and ) to plan for and respond to health emergencies, including infectious diseases and other health hazards.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work closely with the Chief Medical Officer (), who is the ’s most senior medical adviser and head of the public health profession. The  will be:</w:t>
      </w:r>
    </w:p>
    <w:p>
      <w:pPr>
        <w:pStyle w:val="TextBody"/>
        <w:numPr>
          <w:ilvl w:val="0"/>
          <w:numId w:val="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ultimate arbiter for advice on scientific and medical matters</w:t>
      </w:r>
    </w:p>
    <w:p>
      <w:pPr>
        <w:pStyle w:val="TextBody"/>
        <w:numPr>
          <w:ilvl w:val="0"/>
          <w:numId w:val="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formally consulted on wider health protection strategy</w:t>
      </w:r>
    </w:p>
    <w:p>
      <w:pPr>
        <w:pStyle w:val="TextBody"/>
        <w:numPr>
          <w:ilvl w:val="0"/>
          <w:numId w:val="7"/>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professional lead for ’s most senior medical professional</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will co-ordinate closely with  in support of the agency’s global health remit.</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Additionally,  will be a trusted source of public health advice and scientific expertise to government, and will also work closely with  for Scotland, Wales and Northern Ireland.  will synthesise its multiple areas of expertise into an organisational view, which can be used to advise the system,  and relevant ministers.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need to develop a culture that invests in its people and nurtures talent, enabling it to attract and retain highly talented individuals in public health. To empower and enable its workforce to succeed, will create a working environment where innovation, collaboration and continuous improvement are at the heart of everything it does. Underpinning this are ’s values of being impactful, insightful and inclusive, which are fundamental to achieving this goal.  will strive to improve its capability to ensure that ’s future workforce is equipped to deal with health hazards.</w:t>
      </w:r>
    </w:p>
    <w:p>
      <w:pPr>
        <w:pStyle w:val="TextBody"/>
        <w:bidi w:val="0"/>
        <w:spacing w:lineRule="auto" w:line="276" w:before="0" w:after="140"/>
        <w:jc w:val="left"/>
        <w:rPr/>
      </w:pPr>
      <w:r>
        <w:rPr>
          <w:caps w:val="false"/>
          <w:smallCaps w:val="false"/>
          <w:color w:val="000000"/>
          <w:spacing w:val="0"/>
        </w:rPr>
        <w:t> </w:t>
      </w:r>
      <w:r>
        <w:rPr>
          <w:rFonts w:ascii="webkit-standard" w:hAnsi="webkit-standard"/>
          <w:b w:val="false"/>
          <w:i w:val="false"/>
          <w:caps w:val="false"/>
          <w:smallCaps w:val="false"/>
          <w:color w:val="000000"/>
          <w:spacing w:val="0"/>
        </w:rPr>
        <w:t>will develop and agree specific deliverables, and ensure that the agency operates at optimal effectiveness and efficiency, and provides value for money.  will plan to use its resources in an affordable and sustainable manner, and within agreed limits as set out in the </w:t>
      </w:r>
      <w:hyperlink r:id="rId13">
        <w:r>
          <w:rPr>
            <w:rStyle w:val="InternetLink"/>
            <w:rFonts w:ascii="webkit-standard" w:hAnsi="webkit-standard"/>
            <w:b w:val="false"/>
            <w:i w:val="false"/>
            <w:caps w:val="false"/>
            <w:smallCaps w:val="false"/>
            <w:color w:val="000000"/>
            <w:spacing w:val="0"/>
          </w:rPr>
          <w:t>framework document between  and </w:t>
        </w:r>
      </w:hyperlink>
      <w:r>
        <w:rPr>
          <w:rFonts w:ascii="webkit-standard" w:hAnsi="webkit-standard"/>
          <w:b w:val="false"/>
          <w:i w:val="false"/>
          <w:caps w:val="false"/>
          <w:smallCaps w:val="false"/>
          <w:color w:val="000000"/>
          <w:spacing w:val="0"/>
        </w:rPr>
        <w:t>, and in accordance with its obligations to the  with regard to financial management, forecasting and reporting.  will look to take advantage of any income generation streams that may arise from assets such as ’s laboratory network.</w:t>
      </w:r>
    </w:p>
    <w:p>
      <w:pPr>
        <w:pStyle w:val="TextBody"/>
        <w:bidi w:val="0"/>
        <w:spacing w:lineRule="auto" w:line="276" w:before="0" w:after="140"/>
        <w:jc w:val="left"/>
        <w:rPr/>
      </w:pPr>
      <w:r>
        <w:rPr>
          <w:caps w:val="false"/>
          <w:smallCaps w:val="false"/>
          <w:color w:val="000000"/>
          <w:spacing w:val="0"/>
        </w:rPr>
        <w:t> </w:t>
      </w:r>
      <w:r>
        <w:rPr>
          <w:rFonts w:ascii="webkit-standard" w:hAnsi="webkit-standard"/>
          <w:b w:val="false"/>
          <w:i w:val="false"/>
          <w:caps w:val="false"/>
          <w:smallCaps w:val="false"/>
          <w:color w:val="000000"/>
          <w:spacing w:val="0"/>
        </w:rPr>
        <w:t>will prepare comprehensively for the </w:t>
      </w:r>
      <w:hyperlink r:id="rId14">
        <w:r>
          <w:rPr>
            <w:rStyle w:val="InternetLink"/>
            <w:rFonts w:ascii="webkit-standard" w:hAnsi="webkit-standard"/>
            <w:b w:val="false"/>
            <w:i w:val="false"/>
            <w:caps w:val="false"/>
            <w:smallCaps w:val="false"/>
            <w:color w:val="000000"/>
            <w:spacing w:val="0"/>
          </w:rPr>
          <w:t> COVID-19 Inquiry</w:t>
        </w:r>
      </w:hyperlink>
      <w:r>
        <w:rPr>
          <w:rFonts w:ascii="webkit-standard" w:hAnsi="webkit-standard"/>
          <w:b w:val="false"/>
          <w:i w:val="false"/>
          <w:caps w:val="false"/>
          <w:smallCaps w:val="false"/>
          <w:color w:val="000000"/>
          <w:spacing w:val="0"/>
        </w:rPr>
        <w:t> and communicate transparently with .  will fully engage with the inquiry, including responding to evidence requests as required and providing appropriate support to any witnesses to the inquiry for whom  are responsible.</w:t>
      </w:r>
    </w:p>
    <w:p>
      <w:pPr>
        <w:pStyle w:val="Heading2"/>
        <w:bidi w:val="0"/>
        <w:jc w:val="left"/>
        <w:rPr>
          <w:caps w:val="false"/>
          <w:smallCaps w:val="false"/>
          <w:color w:val="000000"/>
          <w:spacing w:val="0"/>
        </w:rPr>
      </w:pPr>
      <w:bookmarkStart w:id="2" w:name="ukhsas-priorities-for-2022-to-2023"/>
      <w:bookmarkEnd w:id="2"/>
      <w:r>
        <w:rPr>
          <w:caps w:val="false"/>
          <w:smallCaps w:val="false"/>
          <w:color w:val="000000"/>
          <w:spacing w:val="0"/>
        </w:rPr>
        <w:t>’</w:t>
      </w:r>
      <w:r>
        <w:rPr>
          <w:rFonts w:ascii="webkit-standard" w:hAnsi="webkit-standard"/>
          <w:b w:val="false"/>
          <w:i w:val="false"/>
          <w:caps w:val="false"/>
          <w:smallCaps w:val="false"/>
          <w:color w:val="000000"/>
          <w:spacing w:val="0"/>
        </w:rPr>
        <w:t>s priorities for 2022 to 2023</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 detailed priorities are attached at Annex A. In summary, organised in 3 areas, during 2022 to 2023, the government expects  to:</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1. Reduce harm from infectious disease and other health security hazards, and achieve more equitable outcomes.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look to reduce the harm from threats to health, including COVID-19, by ensuring effective emergency preparedness, resilience, response and the ability to flex capacity where required in response to health emergencies, including infectious diseases and other health hazards.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w:t>
      </w:r>
    </w:p>
    <w:p>
      <w:pPr>
        <w:pStyle w:val="TextBody"/>
        <w:numPr>
          <w:ilvl w:val="0"/>
          <w:numId w:val="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take on relevant COVID-19 responsibilities of the  from September 2022, ensuring that key elements of its legacy are retained and strengthened through close engagement with industry, harnessing technical and commercial expertise, and centralised procurement</w:t>
      </w:r>
    </w:p>
    <w:p>
      <w:pPr>
        <w:pStyle w:val="TextBody"/>
        <w:numPr>
          <w:ilvl w:val="0"/>
          <w:numId w:val="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public health expertise to support  as the system leader in delivering chemical, biological, radiological, nuclear () planning and response work</w:t>
      </w:r>
    </w:p>
    <w:p>
      <w:pPr>
        <w:pStyle w:val="TextBody"/>
        <w:numPr>
          <w:ilvl w:val="0"/>
          <w:numId w:val="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continue to improve our immunisation programmes and combat antimicrobial resistance domestically and globally</w:t>
      </w:r>
    </w:p>
    <w:p>
      <w:pPr>
        <w:pStyle w:val="TextBody"/>
        <w:numPr>
          <w:ilvl w:val="0"/>
          <w:numId w:val="8"/>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embed lessons learnt from COVID-19 by providing technical expertise, and contribute to the evidence base for how we respond in the future to improve the health and social care system</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2. Prepare for future health security hazards so that our health, society, public services and economy are less impacted.</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strengthen pandemic preparedness to ensure that it becomes embedded within national security structures so that the country is well positioned to respond to all threats to health.  will learn lessons from and build on the legacy of the response to COVID-19, while delivering a resilient and scalable infrastructure to protect against future pandemics, and health threats, including waves of COVID-19.</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w:t>
      </w:r>
    </w:p>
    <w:p>
      <w:pPr>
        <w:pStyle w:val="TextBody"/>
        <w:numPr>
          <w:ilvl w:val="0"/>
          <w:numId w:val="9"/>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deliver a resilient and scalable infrastructure, including testing to protect against future waves of COVID-19, future pandemics and wider health threats</w:t>
      </w:r>
    </w:p>
    <w:p>
      <w:pPr>
        <w:pStyle w:val="TextBody"/>
        <w:numPr>
          <w:ilvl w:val="0"/>
          <w:numId w:val="9"/>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develop a new strategic approach to pandemic preparedness to prevent, detect, track and respond to public health threats rapidly, harnessing the power of advances in technology and data science such as genomic surveillance</w:t>
      </w:r>
    </w:p>
    <w:p>
      <w:pPr>
        <w:pStyle w:val="TextBody"/>
        <w:numPr>
          <w:ilvl w:val="0"/>
          <w:numId w:val="9"/>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continue to maintain and deploy robust emergency clinical countermeasures and stockpiled medicines</w:t>
      </w:r>
    </w:p>
    <w:p>
      <w:pPr>
        <w:pStyle w:val="TextBody"/>
        <w:numPr>
          <w:ilvl w:val="0"/>
          <w:numId w:val="9"/>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robust response capacity and capability to respond to health hazards, including  incidents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3. Strengthen health security capability to improve the effectiveness of our local, national and global response.</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look to deepen the ’s role in global health security through playing a leading role on the global stage and fulfilling international responsibilities.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w:t>
      </w:r>
    </w:p>
    <w:p>
      <w:pPr>
        <w:pStyle w:val="TextBody"/>
        <w:numPr>
          <w:ilvl w:val="0"/>
          <w:numId w:val="1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improve links to disease surveillance and detection beyond  borders through ongoing collaboration, and information and data-sharing with international partners, and supporting delivery of the cross-government global health strategy</w:t>
      </w:r>
    </w:p>
    <w:p>
      <w:pPr>
        <w:pStyle w:val="TextBody"/>
        <w:numPr>
          <w:ilvl w:val="0"/>
          <w:numId w:val="1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that the  is playing a leading part in the development and implementation of international health security initiatives, and will drive improvements in global health security</w:t>
      </w:r>
    </w:p>
    <w:p>
      <w:pPr>
        <w:pStyle w:val="TextBody"/>
        <w:numPr>
          <w:ilvl w:val="0"/>
          <w:numId w:val="1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engage effectively with the World Health Organization () and other international partners on global surveillance initiatives to:</w:t>
      </w:r>
    </w:p>
    <w:p>
      <w:pPr>
        <w:pStyle w:val="TextBody"/>
        <w:numPr>
          <w:ilvl w:val="1"/>
          <w:numId w:val="10"/>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promote  expertise</w:t>
      </w:r>
    </w:p>
    <w:p>
      <w:pPr>
        <w:pStyle w:val="TextBody"/>
        <w:numPr>
          <w:ilvl w:val="1"/>
          <w:numId w:val="10"/>
        </w:numPr>
        <w:tabs>
          <w:tab w:val="clear" w:pos="420"/>
          <w:tab w:val="left" w:pos="1414" w:leader="none"/>
        </w:tabs>
        <w:bidi w:val="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enable  to be at the forefront of the response to global threats to health, and to be pre-warned and prepared for health threats to the  that may arise outside its borders – this has to be co-ordinated with and under the strategic direction of the wider  government</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Much of ’s work outlined during 2022 to 2023 is vital core activity that is central to the function and capabilities of the agency, and that it should be carrying out on a continuous basis year to year. This remit letter distinguishes this core activity from the specific actions for the year. Going forward, core activity will not be formally re-commissioned each year for the remit letter, streamlining the process.</w:t>
      </w:r>
    </w:p>
    <w:p>
      <w:pPr>
        <w:pStyle w:val="TextBody"/>
        <w:bidi w:val="0"/>
        <w:spacing w:lineRule="auto" w:line="276" w:before="0" w:after="140"/>
        <w:jc w:val="left"/>
        <w:rPr/>
      </w:pPr>
      <w:r>
        <w:rPr>
          <w:caps w:val="false"/>
          <w:smallCaps w:val="false"/>
          <w:color w:val="000000"/>
          <w:spacing w:val="0"/>
        </w:rPr>
        <w:t> </w:t>
      </w:r>
      <w:r>
        <w:rPr>
          <w:rFonts w:ascii="webkit-standard" w:hAnsi="webkit-standard"/>
          <w:b w:val="false"/>
          <w:i w:val="false"/>
          <w:caps w:val="false"/>
          <w:smallCaps w:val="false"/>
          <w:color w:val="000000"/>
          <w:spacing w:val="0"/>
        </w:rPr>
        <w:t>is still in a development phase. Notwithstanding this,  will undertake an efficient, effective and robust transition of the agency’s functions in line with the </w:t>
      </w:r>
      <w:hyperlink r:id="rId15">
        <w:r>
          <w:rPr>
            <w:rStyle w:val="InternetLink"/>
            <w:rFonts w:ascii="webkit-standard" w:hAnsi="webkit-standard"/>
            <w:b w:val="false"/>
            <w:i w:val="false"/>
            <w:caps w:val="false"/>
            <w:smallCaps w:val="false"/>
            <w:color w:val="000000"/>
            <w:spacing w:val="0"/>
          </w:rPr>
          <w:t>Response COVID-19: Living with COVID-19</w:t>
        </w:r>
      </w:hyperlink>
      <w:r>
        <w:rPr>
          <w:rFonts w:ascii="webkit-standard" w:hAnsi="webkit-standard"/>
          <w:b w:val="false"/>
          <w:i w:val="false"/>
          <w:caps w:val="false"/>
          <w:smallCaps w:val="false"/>
          <w:color w:val="000000"/>
          <w:spacing w:val="0"/>
        </w:rPr>
        <w:t>strategy and the spending review settlement, through a staged process of reorientation, transformation and re-design of internal structures.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and  will take the necessary time to develop and agree pragmatic and specific deliverables aligned to this remit letter.</w:t>
      </w:r>
    </w:p>
    <w:p>
      <w:pPr>
        <w:pStyle w:val="Heading2"/>
        <w:bidi w:val="0"/>
        <w:jc w:val="left"/>
        <w:rPr>
          <w:rFonts w:ascii="webkit-standard" w:hAnsi="webkit-standard"/>
          <w:b w:val="false"/>
          <w:i w:val="false"/>
          <w:caps w:val="false"/>
          <w:smallCaps w:val="false"/>
          <w:color w:val="000000"/>
          <w:spacing w:val="0"/>
        </w:rPr>
      </w:pPr>
      <w:bookmarkStart w:id="3" w:name="annex-a-detailed-priorities-for-ukhsa-in"/>
      <w:bookmarkEnd w:id="3"/>
      <w:r>
        <w:rPr>
          <w:rFonts w:ascii="webkit-standard" w:hAnsi="webkit-standard"/>
          <w:b w:val="false"/>
          <w:i w:val="false"/>
          <w:caps w:val="false"/>
          <w:smallCaps w:val="false"/>
          <w:color w:val="000000"/>
          <w:spacing w:val="0"/>
        </w:rPr>
        <w:t>Annex A: detailed priorities for  in 2022 to 2023</w:t>
      </w:r>
    </w:p>
    <w:p>
      <w:pPr>
        <w:pStyle w:val="Heading3"/>
        <w:bidi w:val="0"/>
        <w:jc w:val="left"/>
        <w:rPr>
          <w:rFonts w:ascii="webkit-standard" w:hAnsi="webkit-standard"/>
          <w:b w:val="false"/>
          <w:i w:val="false"/>
          <w:caps w:val="false"/>
          <w:smallCaps w:val="false"/>
          <w:color w:val="000000"/>
          <w:spacing w:val="0"/>
        </w:rPr>
      </w:pPr>
      <w:bookmarkStart w:id="4" w:name="reduce-harm-from-infectious-disease-and-"/>
      <w:bookmarkEnd w:id="4"/>
      <w:r>
        <w:rPr>
          <w:rFonts w:ascii="webkit-standard" w:hAnsi="webkit-standard"/>
          <w:b w:val="false"/>
          <w:i w:val="false"/>
          <w:caps w:val="false"/>
          <w:smallCaps w:val="false"/>
          <w:color w:val="000000"/>
          <w:spacing w:val="0"/>
        </w:rPr>
        <w:t>1. Reduce harm from infectious disease and other health security hazards</w:t>
      </w:r>
    </w:p>
    <w:p>
      <w:pPr>
        <w:pStyle w:val="Heading4"/>
        <w:bidi w:val="0"/>
        <w:jc w:val="left"/>
        <w:rPr>
          <w:rFonts w:ascii="webkit-standard" w:hAnsi="webkit-standard"/>
          <w:b w:val="false"/>
          <w:i w:val="false"/>
          <w:caps w:val="false"/>
          <w:smallCaps w:val="false"/>
          <w:color w:val="000000"/>
          <w:spacing w:val="0"/>
        </w:rPr>
      </w:pPr>
      <w:bookmarkStart w:id="5" w:name="response-to-public-health-emergencies"/>
      <w:bookmarkEnd w:id="5"/>
      <w:r>
        <w:rPr>
          <w:rFonts w:ascii="webkit-standard" w:hAnsi="webkit-standard"/>
          <w:b w:val="false"/>
          <w:i w:val="false"/>
          <w:caps w:val="false"/>
          <w:smallCaps w:val="false"/>
          <w:color w:val="000000"/>
          <w:spacing w:val="0"/>
        </w:rPr>
        <w:t>Response to public health emergencies</w:t>
      </w:r>
    </w:p>
    <w:p>
      <w:pPr>
        <w:pStyle w:val="TextBody"/>
        <w:bidi w:val="0"/>
        <w:spacing w:lineRule="auto" w:line="276" w:before="0" w:after="140"/>
        <w:jc w:val="left"/>
        <w:rPr/>
      </w:pPr>
      <w:r>
        <w:rPr>
          <w:rFonts w:ascii="webkit-standard" w:hAnsi="webkit-standard"/>
          <w:b w:val="false"/>
          <w:i w:val="false"/>
          <w:caps w:val="false"/>
          <w:smallCaps w:val="false"/>
          <w:color w:val="000000"/>
          <w:spacing w:val="0"/>
        </w:rPr>
        <w:t>As a category 1 responder under the </w:t>
      </w:r>
      <w:hyperlink r:id="rId16">
        <w:r>
          <w:rPr>
            <w:rStyle w:val="InternetLink"/>
            <w:rFonts w:ascii="webkit-standard" w:hAnsi="webkit-standard"/>
            <w:b w:val="false"/>
            <w:i w:val="false"/>
            <w:caps w:val="false"/>
            <w:smallCaps w:val="false"/>
            <w:color w:val="000000"/>
            <w:spacing w:val="0"/>
          </w:rPr>
          <w:t>Civil Contingencies Act 2004</w:t>
        </w:r>
      </w:hyperlink>
      <w:r>
        <w:rPr>
          <w:rFonts w:ascii="webkit-standard" w:hAnsi="webkit-standard"/>
          <w:b w:val="false"/>
          <w:i w:val="false"/>
          <w:caps w:val="false"/>
          <w:smallCaps w:val="false"/>
          <w:color w:val="000000"/>
          <w:spacing w:val="0"/>
        </w:rPr>
        <w:t>,  will work with  and  to provide effective emergency preparedness, resilience and response to all public health emergencies. This includes surveillance, analysis, risk assessment, and management of and response to infectious disease incidents and outbreaks, building on the advice from its expert advisory committees where appropriate.</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1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take responsibility for the response to incidents on which  have a leading role, particularly at local and regional levels through health protection teams</w:t>
      </w:r>
    </w:p>
    <w:p>
      <w:pPr>
        <w:pStyle w:val="TextBody"/>
        <w:numPr>
          <w:ilvl w:val="0"/>
          <w:numId w:val="1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notify ,  and other system partners, and respond to incidents that meet escalation thresholds</w:t>
      </w:r>
    </w:p>
    <w:p>
      <w:pPr>
        <w:pStyle w:val="TextBody"/>
        <w:numPr>
          <w:ilvl w:val="0"/>
          <w:numId w:val="1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contribute to the development of relevant standard operating procedures, and review contingency plans for national security risk assessment () and other health and social care system risks as required</w:t>
      </w:r>
    </w:p>
    <w:p>
      <w:pPr>
        <w:pStyle w:val="TextBody"/>
        <w:numPr>
          <w:ilvl w:val="0"/>
          <w:numId w:val="1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contribute expertise to cross-government resilience policy development</w:t>
      </w:r>
    </w:p>
    <w:p>
      <w:pPr>
        <w:pStyle w:val="TextBody"/>
        <w:numPr>
          <w:ilvl w:val="0"/>
          <w:numId w:val="1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in the delivery of  planning and response work from a public health standpoint, co-ordinating with , across government and internationally</w:t>
      </w:r>
    </w:p>
    <w:p>
      <w:pPr>
        <w:pStyle w:val="TextBody"/>
        <w:numPr>
          <w:ilvl w:val="0"/>
          <w:numId w:val="11"/>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set out how  will work with tripartite partners ( and ) to plan for and respond to infectious disease incidents, outbreaks and health security hazards</w:t>
      </w:r>
    </w:p>
    <w:p>
      <w:pPr>
        <w:pStyle w:val="TextBody"/>
        <w:bidi w:val="0"/>
        <w:jc w:val="left"/>
        <w:rPr/>
      </w:pPr>
      <w:r>
        <w:rPr>
          <w:rFonts w:ascii="webkit-standard" w:hAnsi="webkit-standard"/>
          <w:b w:val="false"/>
          <w:i w:val="false"/>
          <w:caps w:val="false"/>
          <w:smallCaps w:val="false"/>
          <w:color w:val="000000"/>
          <w:spacing w:val="0"/>
        </w:rPr>
        <w:t>In addition, in 2022 to 2023,  will provide expertise to the </w:t>
      </w:r>
      <w:hyperlink r:id="rId17">
        <w:r>
          <w:rPr>
            <w:rStyle w:val="InternetLink"/>
            <w:rFonts w:ascii="webkit-standard" w:hAnsi="webkit-standard"/>
            <w:b w:val="false"/>
            <w:i w:val="false"/>
            <w:caps w:val="false"/>
            <w:smallCaps w:val="false"/>
            <w:color w:val="000000"/>
            <w:spacing w:val="0"/>
          </w:rPr>
          <w:t>National Resilience Strategy</w:t>
        </w:r>
      </w:hyperlink>
      <w:r>
        <w:rPr>
          <w:rFonts w:ascii="webkit-standard" w:hAnsi="webkit-standard"/>
          <w:b w:val="false"/>
          <w:i w:val="false"/>
          <w:caps w:val="false"/>
          <w:smallCaps w:val="false"/>
          <w:color w:val="000000"/>
          <w:spacing w:val="0"/>
        </w:rPr>
        <w:t> and </w:t>
      </w:r>
      <w:hyperlink r:id="rId18">
        <w:r>
          <w:rPr>
            <w:rStyle w:val="InternetLink"/>
            <w:rFonts w:ascii="webkit-standard" w:hAnsi="webkit-standard"/>
            <w:b w:val="false"/>
            <w:i w:val="false"/>
            <w:caps w:val="false"/>
            <w:smallCaps w:val="false"/>
            <w:color w:val="000000"/>
            <w:spacing w:val="0"/>
          </w:rPr>
          <w:t>Civil Contingencies Act 2004: post implementation review</w:t>
        </w:r>
      </w:hyperlink>
      <w:r>
        <w:rPr>
          <w:rFonts w:ascii="webkit-standard" w:hAnsi="webkit-standard"/>
          <w:b w:val="false"/>
          <w:i w:val="false"/>
          <w:caps w:val="false"/>
          <w:smallCaps w:val="false"/>
          <w:color w:val="000000"/>
          <w:spacing w:val="0"/>
        </w:rPr>
        <w:t>.</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support a joined-up and -mindful approach to health security and health protection, embedding  governance and engagement across all -wide programmes by building on collaborative action already in train, and drawing on lessons and experiences as appropriate.</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1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lead on delivering governance and engagement across -wide programmes</w:t>
      </w:r>
    </w:p>
    <w:p>
      <w:pPr>
        <w:pStyle w:val="TextBody"/>
        <w:numPr>
          <w:ilvl w:val="0"/>
          <w:numId w:val="1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promote regulatory alignment, and coherent access and interventions across the </w:t>
      </w:r>
    </w:p>
    <w:p>
      <w:pPr>
        <w:pStyle w:val="TextBody"/>
        <w:numPr>
          <w:ilvl w:val="0"/>
          <w:numId w:val="1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capitalise on collaborative opportunities to protect  citizens</w:t>
      </w:r>
    </w:p>
    <w:p>
      <w:pPr>
        <w:pStyle w:val="TextBody"/>
        <w:numPr>
          <w:ilvl w:val="0"/>
          <w:numId w:val="12"/>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deliver the secretariat function for the Four Nations Health Protection Oversight Group</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addition, in 2022 to 2023,  will:</w:t>
      </w:r>
    </w:p>
    <w:p>
      <w:pPr>
        <w:pStyle w:val="TextBody"/>
        <w:numPr>
          <w:ilvl w:val="0"/>
          <w:numId w:val="13"/>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Scotland, Wales and Northern Ireland and local or regional public health bodies responding to the COVID-19 pandemic</w:t>
      </w:r>
    </w:p>
    <w:p>
      <w:pPr>
        <w:pStyle w:val="TextBody"/>
        <w:numPr>
          <w:ilvl w:val="0"/>
          <w:numId w:val="13"/>
        </w:numPr>
        <w:tabs>
          <w:tab w:val="clear" w:pos="420"/>
          <w:tab w:val="left" w:pos="707" w:leader="none"/>
        </w:tabs>
        <w:bidi w:val="0"/>
        <w:ind w:left="707" w:hanging="283"/>
        <w:jc w:val="left"/>
        <w:rPr/>
      </w:pPr>
      <w:r>
        <w:rPr>
          <w:rFonts w:ascii="webkit-standard" w:hAnsi="webkit-standard"/>
          <w:b w:val="false"/>
          <w:i w:val="false"/>
          <w:caps w:val="false"/>
          <w:smallCaps w:val="false"/>
          <w:color w:val="000000"/>
          <w:spacing w:val="0"/>
        </w:rPr>
        <w:t>deliver the programme of work agreed under the </w:t>
      </w:r>
      <w:hyperlink r:id="rId19">
        <w:r>
          <w:rPr>
            <w:rStyle w:val="InternetLink"/>
            <w:rFonts w:ascii="webkit-standard" w:hAnsi="webkit-standard"/>
            <w:b w:val="false"/>
            <w:i w:val="false"/>
            <w:caps w:val="false"/>
            <w:smallCaps w:val="false"/>
            <w:color w:val="000000"/>
            <w:spacing w:val="0"/>
          </w:rPr>
          <w:t>Public health protection and health security: provisional common framework</w:t>
        </w:r>
      </w:hyperlink>
      <w:r>
        <w:rPr>
          <w:rFonts w:ascii="webkit-standard" w:hAnsi="webkit-standard"/>
          <w:b w:val="false"/>
          <w:i w:val="false"/>
          <w:caps w:val="false"/>
          <w:smallCaps w:val="false"/>
          <w:color w:val="000000"/>
          <w:spacing w:val="0"/>
        </w:rPr>
        <w:t>, working alongside  and Scotland, Wales and Northern Ireland</w:t>
      </w:r>
    </w:p>
    <w:p>
      <w:pPr>
        <w:pStyle w:val="Heading4"/>
        <w:bidi w:val="0"/>
        <w:jc w:val="left"/>
        <w:rPr>
          <w:rFonts w:ascii="webkit-standard" w:hAnsi="webkit-standard"/>
          <w:b w:val="false"/>
          <w:i w:val="false"/>
          <w:caps w:val="false"/>
          <w:smallCaps w:val="false"/>
          <w:color w:val="000000"/>
          <w:spacing w:val="0"/>
        </w:rPr>
      </w:pPr>
      <w:bookmarkStart w:id="6" w:name="vaccinations-immunisations-and-treatment"/>
      <w:bookmarkEnd w:id="6"/>
      <w:r>
        <w:rPr>
          <w:rFonts w:ascii="webkit-standard" w:hAnsi="webkit-standard"/>
          <w:b w:val="false"/>
          <w:i w:val="false"/>
          <w:caps w:val="false"/>
          <w:smallCaps w:val="false"/>
          <w:color w:val="000000"/>
          <w:spacing w:val="0"/>
        </w:rPr>
        <w:t>Vaccinations, immunisations and treatments including antivirals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From autumn 2022,  will take on responsibility for COVID-19 vaccine supply from the , and ensure we build on the ’s legacy by retaining many elements of its structure, approach and culture, including through close engagement with suppliers, utilising technical and commercial expertise, and centralised procurement. This will cover existing and future contracts for vaccine supply including the recently announced Heads of Terms with Moderna. This includes:</w:t>
      </w:r>
    </w:p>
    <w:p>
      <w:pPr>
        <w:pStyle w:val="TextBody"/>
        <w:numPr>
          <w:ilvl w:val="0"/>
          <w:numId w:val="14"/>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transitioning  core functions to  to:</w:t>
      </w:r>
    </w:p>
    <w:p>
      <w:pPr>
        <w:pStyle w:val="TextBody"/>
        <w:numPr>
          <w:ilvl w:val="1"/>
          <w:numId w:val="14"/>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its innovative operating model, skills and close links with academia and industry are retained for all vaccine technologies</w:t>
      </w:r>
    </w:p>
    <w:p>
      <w:pPr>
        <w:pStyle w:val="TextBody"/>
        <w:numPr>
          <w:ilvl w:val="1"/>
          <w:numId w:val="14"/>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’s future ambitions as a global scientific leader. In particular, anticipating and fostering developments in vaccine technology, and exploring opportunities regarding research and development, manufacturing, supply chains and delivery by working closely with developers and clinical experts. This should include horizon-scanning for COVID-19 and assessment of other threats to which vaccination could be part of the response</w:t>
      </w:r>
    </w:p>
    <w:p>
      <w:pPr>
        <w:pStyle w:val="TextBody"/>
        <w:numPr>
          <w:ilvl w:val="0"/>
          <w:numId w:val="14"/>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building off the experiences of the ,  may be required to surge this function to respond to an emergency, such as a new COVID-19 variant or novel pandemic threat. This may include the need to:</w:t>
      </w:r>
    </w:p>
    <w:p>
      <w:pPr>
        <w:pStyle w:val="TextBody"/>
        <w:numPr>
          <w:ilvl w:val="1"/>
          <w:numId w:val="14"/>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expand and strengthen ministerial and senior leadership</w:t>
      </w:r>
    </w:p>
    <w:p>
      <w:pPr>
        <w:pStyle w:val="TextBody"/>
        <w:numPr>
          <w:ilvl w:val="1"/>
          <w:numId w:val="14"/>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incorporate further expertise</w:t>
      </w:r>
    </w:p>
    <w:p>
      <w:pPr>
        <w:pStyle w:val="TextBody"/>
        <w:numPr>
          <w:ilvl w:val="1"/>
          <w:numId w:val="14"/>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re-strengthen links across the vaccine landscape</w:t>
      </w:r>
    </w:p>
    <w:p>
      <w:pPr>
        <w:pStyle w:val="TextBody"/>
        <w:numPr>
          <w:ilvl w:val="1"/>
          <w:numId w:val="14"/>
        </w:numPr>
        <w:tabs>
          <w:tab w:val="clear" w:pos="420"/>
          <w:tab w:val="left" w:pos="1414" w:leader="none"/>
        </w:tabs>
        <w:bidi w:val="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increase resource</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contribute to improving our childhood and adult immunisation programmes, and drive maximum uptake, and aid in regaining the ’s measles elimination status, and the sustaining of our rubella and polio status.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these core activities,  will:</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system partners, including NHS organisations, in the delivery of vaccination programmes, and advise on vaccine effectiveness and changes to these programmes</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actively collaborate with , as the delivery partner, to regain target coverage of 95% for 2 doses of measles, mumps and rubella (), including advising on actions to reduce disparities in  vaccine uptake</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manage vaccine storage and distribution facilities</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co-ordination with  and partners, maintain and manage supply of centrally procured vaccines, including response on supply disruptions, and devising management and communications plans</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and assure the end-to-end security and resilience of vaccine supply chains against risks to both supply and demand</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work across government to ensure systems of protecting and monitoring against health disinformation, including disinformation that encourages vaccine hesitancy</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deliver public health guidance and communications, supporting vaccine uptake and equity of access</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work with tripartite partners to deliver improvements to vaccination data to allow for timely and targeted action, prioritising  to improve coverage of this essential programme, but with a longer term aim to deliver data solutions for other routine programmes</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improve vaccine data with health system partners to allow timely and targeted action</w:t>
      </w:r>
    </w:p>
    <w:p>
      <w:pPr>
        <w:pStyle w:val="TextBody"/>
        <w:numPr>
          <w:ilvl w:val="0"/>
          <w:numId w:val="15"/>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support the Joint Committee on Vaccination and Immunisation () with modelling, secretariat and expertise, maintaining a leading role on clinical oversight and guidance, including </w:t>
      </w:r>
      <w:hyperlink r:id="rId20">
        <w:r>
          <w:rPr>
            <w:rStyle w:val="InternetLink"/>
            <w:rFonts w:ascii="webkit-standard" w:hAnsi="webkit-standard"/>
            <w:b w:val="false"/>
            <w:i w:val="false"/>
            <w:caps w:val="false"/>
            <w:smallCaps w:val="false"/>
            <w:color w:val="000000"/>
            <w:spacing w:val="0"/>
          </w:rPr>
          <w:t>Green Book</w:t>
        </w:r>
      </w:hyperlink>
      <w:r>
        <w:rPr>
          <w:rFonts w:ascii="webkit-standard" w:hAnsi="webkit-standard"/>
          <w:b w:val="false"/>
          <w:i w:val="false"/>
          <w:caps w:val="false"/>
          <w:smallCaps w:val="false"/>
          <w:color w:val="000000"/>
          <w:spacing w:val="0"/>
        </w:rPr>
        <w:t> updates and patient information management</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identify and provide advice on reducing disparities in vaccination coverage</w:t>
      </w:r>
    </w:p>
    <w:p>
      <w:pPr>
        <w:pStyle w:val="TextBody"/>
        <w:numPr>
          <w:ilvl w:val="0"/>
          <w:numId w:val="1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hold the secretariat for the -wide Vaccine Shortages Response Group</w:t>
      </w:r>
    </w:p>
    <w:p>
      <w:pPr>
        <w:pStyle w:val="TextBody"/>
        <w:numPr>
          <w:ilvl w:val="0"/>
          <w:numId w:val="15"/>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maintain and contribute to the design, development and implementation of an effective operating model for routine immunisation programmes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addition, in 2022 to 2023,  will be prepared to contribute to the development of a future vaccine strategy</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collaborate with partners on the design, development and implementation of a future operating model for COVID-19 and influenza vaccination programmes. It will drive COVID-19 awareness, engagement and take-up of vaccinations, and support maintenance and supply of antivirals to ensure continued deployment of life-saving treatments for COVID-19.</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these core activities,  will:</w:t>
      </w:r>
    </w:p>
    <w:p>
      <w:pPr>
        <w:pStyle w:val="TextBody"/>
        <w:numPr>
          <w:ilvl w:val="0"/>
          <w:numId w:val="1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equitable access to testing and treatments. This will include testing to support access to treatments for those at higher risk of serious illness and those currently accessing treatments through COVID-19 medicines delivery units, as well as supporting the transition of testing for treatment to primary care (-led) from </w:t>
      </w:r>
    </w:p>
    <w:p>
      <w:pPr>
        <w:pStyle w:val="TextBody"/>
        <w:numPr>
          <w:ilvl w:val="0"/>
          <w:numId w:val="1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adequate surveillance and sequencing to aid understanding of antiviral or therapeutic efficacy to tailor deployment models and products</w:t>
      </w:r>
    </w:p>
    <w:p>
      <w:pPr>
        <w:pStyle w:val="TextBody"/>
        <w:numPr>
          <w:ilvl w:val="0"/>
          <w:numId w:val="1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maintain a scalable role to deliver the above activity, responding to localised outbreaks and to new variants of concern as they emerge</w:t>
      </w:r>
    </w:p>
    <w:p>
      <w:pPr>
        <w:pStyle w:val="TextBody"/>
        <w:numPr>
          <w:ilvl w:val="0"/>
          <w:numId w:val="1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prepare and manage supply and current stockpiles of antivirals, including current supplies, any buffer stock and longer-term stockpiles, which will be built up as part of the Antivirals and Therapeutics Taskforce procurement</w:t>
      </w:r>
    </w:p>
    <w:p>
      <w:pPr>
        <w:pStyle w:val="TextBody"/>
        <w:numPr>
          <w:ilvl w:val="0"/>
          <w:numId w:val="1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lead on distribution of medications to relevant delivery partners across the NHS in secondary and primary care, and in Scotland, Wales and Northern Ireland</w:t>
      </w:r>
    </w:p>
    <w:p>
      <w:pPr>
        <w:pStyle w:val="TextBody"/>
        <w:numPr>
          <w:ilvl w:val="0"/>
          <w:numId w:val="16"/>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antiviral medications deemed to be cost-effective by the National Institute for Health and Care Excellence () for future COVID-19 waves, and/or for application in other viruses where oral antivirals are likely to have efficacy</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addition, in 2022 to 2023,  will support the transition of testing for treatment to primary care (-led) from .</w:t>
      </w:r>
    </w:p>
    <w:p>
      <w:pPr>
        <w:pStyle w:val="Heading4"/>
        <w:bidi w:val="0"/>
        <w:jc w:val="left"/>
        <w:rPr>
          <w:rFonts w:ascii="webkit-standard" w:hAnsi="webkit-standard"/>
          <w:b w:val="false"/>
          <w:i w:val="false"/>
          <w:caps w:val="false"/>
          <w:smallCaps w:val="false"/>
          <w:color w:val="000000"/>
          <w:spacing w:val="0"/>
        </w:rPr>
      </w:pPr>
      <w:bookmarkStart w:id="7" w:name="response-planning-for-the-10-key-health-"/>
      <w:bookmarkEnd w:id="7"/>
      <w:r>
        <w:rPr>
          <w:rFonts w:ascii="webkit-standard" w:hAnsi="webkit-standard"/>
          <w:b w:val="false"/>
          <w:i w:val="false"/>
          <w:caps w:val="false"/>
          <w:smallCaps w:val="false"/>
          <w:color w:val="000000"/>
          <w:spacing w:val="0"/>
        </w:rPr>
        <w:t>Response planning for the 10 key health hazards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continue work on surveillance and response to a range of health hazards, in particular the main transmission disease routes (gastrointestinal, respiratory, sexual, touch, vector-borne and blood-borne) as well as  and big event disasters.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review and assess the public health risks, set out the appropriate mitigation and contingencies, and review the appropriate levels of preparedness against these to establish our enhanced response capability.</w:t>
      </w:r>
    </w:p>
    <w:p>
      <w:pPr>
        <w:pStyle w:val="Heading4"/>
        <w:bidi w:val="0"/>
        <w:jc w:val="left"/>
        <w:rPr>
          <w:rFonts w:ascii="webkit-standard" w:hAnsi="webkit-standard"/>
          <w:b w:val="false"/>
          <w:i w:val="false"/>
          <w:caps w:val="false"/>
          <w:smallCaps w:val="false"/>
          <w:color w:val="000000"/>
          <w:spacing w:val="0"/>
        </w:rPr>
      </w:pPr>
      <w:bookmarkStart w:id="8" w:name="health-surveillance-and-data-exploitatio"/>
      <w:bookmarkEnd w:id="8"/>
      <w:r>
        <w:rPr>
          <w:rFonts w:ascii="webkit-standard" w:hAnsi="webkit-standard"/>
          <w:b w:val="false"/>
          <w:i w:val="false"/>
          <w:caps w:val="false"/>
          <w:smallCaps w:val="false"/>
          <w:color w:val="000000"/>
          <w:spacing w:val="0"/>
        </w:rPr>
        <w:t>Health surveillance and data exploitation</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lead in developing a strategic system-wide approach to health surveillance and data use to inform action at national and local level. This should cover communicable and non-communicable diseases, including measurable action on disparities.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FAIR (findability, accessibility, interoperability and reusability) principles should be at the heart of ’s data strategy.</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1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system partners on surveillance systems, data management and data infrastructure to ensure availability of data to support public health purposes, nationally and locally</w:t>
      </w:r>
    </w:p>
    <w:p>
      <w:pPr>
        <w:pStyle w:val="TextBody"/>
        <w:numPr>
          <w:ilvl w:val="0"/>
          <w:numId w:val="1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develop and share with partners, such as the , modelling capabilities within  to enable analysis and planning for infectious disease threats</w:t>
      </w:r>
    </w:p>
    <w:p>
      <w:pPr>
        <w:pStyle w:val="TextBody"/>
        <w:numPr>
          <w:ilvl w:val="0"/>
          <w:numId w:val="17"/>
        </w:numPr>
        <w:tabs>
          <w:tab w:val="clear" w:pos="420"/>
          <w:tab w:val="left" w:pos="707" w:leader="none"/>
        </w:tabs>
        <w:bidi w:val="0"/>
        <w:ind w:left="707" w:hanging="283"/>
        <w:jc w:val="left"/>
        <w:rPr/>
      </w:pPr>
      <w:r>
        <w:rPr>
          <w:rFonts w:ascii="webkit-standard" w:hAnsi="webkit-standard"/>
          <w:b w:val="false"/>
          <w:i w:val="false"/>
          <w:caps w:val="false"/>
          <w:smallCaps w:val="false"/>
          <w:color w:val="000000"/>
          <w:spacing w:val="0"/>
        </w:rPr>
        <w:t>contribute to epidemiological and health monitoring products produced by , which have health protection components – for example, the </w:t>
      </w:r>
      <w:hyperlink r:id="rId21">
        <w:r>
          <w:rPr>
            <w:rStyle w:val="InternetLink"/>
            <w:rFonts w:ascii="webkit-standard" w:hAnsi="webkit-standard"/>
            <w:b w:val="false"/>
            <w:i w:val="false"/>
            <w:caps w:val="false"/>
            <w:smallCaps w:val="false"/>
            <w:color w:val="000000"/>
            <w:spacing w:val="0"/>
          </w:rPr>
          <w:t>health profile for England</w:t>
        </w:r>
      </w:hyperlink>
      <w:r>
        <w:rPr>
          <w:rFonts w:ascii="webkit-standard" w:hAnsi="webkit-standard"/>
          <w:b w:val="false"/>
          <w:i w:val="false"/>
          <w:caps w:val="false"/>
          <w:smallCaps w:val="false"/>
          <w:color w:val="000000"/>
          <w:spacing w:val="0"/>
        </w:rPr>
        <w:t> and </w:t>
      </w:r>
      <w:hyperlink r:id="rId22">
        <w:r>
          <w:rPr>
            <w:rStyle w:val="InternetLink"/>
            <w:rFonts w:ascii="webkit-standard" w:hAnsi="webkit-standard"/>
            <w:b w:val="false"/>
            <w:i w:val="false"/>
            <w:caps w:val="false"/>
            <w:smallCaps w:val="false"/>
            <w:color w:val="000000"/>
            <w:spacing w:val="0"/>
          </w:rPr>
          <w:t>Public Health Outcomes Framework</w:t>
        </w:r>
      </w:hyperlink>
    </w:p>
    <w:p>
      <w:pPr>
        <w:pStyle w:val="Heading4"/>
        <w:bidi w:val="0"/>
        <w:jc w:val="left"/>
        <w:rPr>
          <w:rFonts w:ascii="webkit-standard" w:hAnsi="webkit-standard"/>
          <w:b w:val="false"/>
          <w:i w:val="false"/>
          <w:caps w:val="false"/>
          <w:smallCaps w:val="false"/>
          <w:color w:val="000000"/>
          <w:spacing w:val="0"/>
        </w:rPr>
      </w:pPr>
      <w:bookmarkStart w:id="9" w:name="tuberculosis-action-plan"/>
      <w:bookmarkEnd w:id="9"/>
      <w:r>
        <w:rPr>
          <w:rFonts w:ascii="webkit-standard" w:hAnsi="webkit-standard"/>
          <w:b w:val="false"/>
          <w:i w:val="false"/>
          <w:caps w:val="false"/>
          <w:smallCaps w:val="false"/>
          <w:color w:val="000000"/>
          <w:spacing w:val="0"/>
        </w:rPr>
        <w:t>Tuberculosis action plan</w:t>
      </w:r>
    </w:p>
    <w:p>
      <w:pPr>
        <w:pStyle w:val="TextBody"/>
        <w:bidi w:val="0"/>
        <w:spacing w:lineRule="auto" w:line="276" w:before="0" w:after="140"/>
        <w:jc w:val="left"/>
        <w:rPr/>
      </w:pPr>
      <w:r>
        <w:rPr>
          <w:caps w:val="false"/>
          <w:smallCaps w:val="false"/>
          <w:color w:val="000000"/>
          <w:spacing w:val="0"/>
        </w:rPr>
        <w:t> </w:t>
      </w:r>
      <w:r>
        <w:rPr>
          <w:rFonts w:ascii="webkit-standard" w:hAnsi="webkit-standard"/>
          <w:b w:val="false"/>
          <w:i w:val="false"/>
          <w:caps w:val="false"/>
          <w:smallCaps w:val="false"/>
          <w:color w:val="000000"/>
          <w:spacing w:val="0"/>
        </w:rPr>
        <w:t>will collaborate with regional  and NHS public health teams on the delivery of the </w:t>
      </w:r>
      <w:hyperlink r:id="rId23">
        <w:r>
          <w:rPr>
            <w:rStyle w:val="InternetLink"/>
            <w:rFonts w:ascii="webkit-standard" w:hAnsi="webkit-standard"/>
            <w:b w:val="false"/>
            <w:i w:val="false"/>
            <w:caps w:val="false"/>
            <w:smallCaps w:val="false"/>
            <w:color w:val="000000"/>
            <w:spacing w:val="0"/>
          </w:rPr>
          <w:t>Tuberculosis (TB): action plan for England</w:t>
        </w:r>
      </w:hyperlink>
      <w:r>
        <w:rPr>
          <w:rFonts w:ascii="webkit-standard" w:hAnsi="webkit-standard"/>
          <w:b w:val="false"/>
          <w:i w:val="false"/>
          <w:caps w:val="false"/>
          <w:smallCaps w:val="false"/>
          <w:color w:val="000000"/>
          <w:spacing w:val="0"/>
        </w:rPr>
        <w:t> (2021 to 2026) with the aim to achieve a year-on-year reduction in TB incidence and in- TB transmission, and enable the  to meet its commitment to the  elimination targets by 2035.</w:t>
      </w:r>
    </w:p>
    <w:p>
      <w:pPr>
        <w:pStyle w:val="Heading4"/>
        <w:bidi w:val="0"/>
        <w:jc w:val="left"/>
        <w:rPr>
          <w:rFonts w:ascii="webkit-standard" w:hAnsi="webkit-standard"/>
          <w:b w:val="false"/>
          <w:i w:val="false"/>
          <w:caps w:val="false"/>
          <w:smallCaps w:val="false"/>
          <w:color w:val="000000"/>
          <w:spacing w:val="0"/>
        </w:rPr>
      </w:pPr>
      <w:bookmarkStart w:id="10" w:name="adult-social-care"/>
      <w:bookmarkEnd w:id="10"/>
      <w:r>
        <w:rPr>
          <w:rFonts w:ascii="webkit-standard" w:hAnsi="webkit-standard"/>
          <w:b w:val="false"/>
          <w:i w:val="false"/>
          <w:caps w:val="false"/>
          <w:smallCaps w:val="false"/>
          <w:color w:val="000000"/>
          <w:spacing w:val="0"/>
        </w:rPr>
        <w:t>Adult social care</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provide advice and support, working with policy makers, local authorities and wider sectoral partners and stakeholders to protect adult social care settings and populations from new and existing threats.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1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advice on ongoing offers for COVID-19 and flu vaccines within the adult social care system, including optimal coverage of vaccinated staff within settings</w:t>
      </w:r>
    </w:p>
    <w:p>
      <w:pPr>
        <w:pStyle w:val="TextBody"/>
        <w:numPr>
          <w:ilvl w:val="0"/>
          <w:numId w:val="1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key stakeholders in building better systems to respond to future health security threats, including delivery of contingency planning (against plausible scenarios) such as winter planning</w:t>
      </w:r>
    </w:p>
    <w:p>
      <w:pPr>
        <w:pStyle w:val="TextBody"/>
        <w:numPr>
          <w:ilvl w:val="0"/>
          <w:numId w:val="18"/>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lead on development and support the delivery of the </w:t>
      </w:r>
      <w:hyperlink r:id="rId24">
        <w:r>
          <w:rPr>
            <w:rStyle w:val="InternetLink"/>
            <w:rFonts w:ascii="webkit-standard" w:hAnsi="webkit-standard"/>
            <w:b w:val="false"/>
            <w:i w:val="false"/>
            <w:caps w:val="false"/>
            <w:smallCaps w:val="false"/>
            <w:color w:val="000000"/>
            <w:spacing w:val="0"/>
          </w:rPr>
          <w:t>Health and Social Care Act 2008: code of practice on the prevention and control of infections</w:t>
        </w:r>
      </w:hyperlink>
      <w:r>
        <w:rPr>
          <w:rFonts w:ascii="webkit-standard" w:hAnsi="webkit-standard"/>
          <w:b w:val="false"/>
          <w:i w:val="false"/>
          <w:caps w:val="false"/>
          <w:smallCaps w:val="false"/>
          <w:color w:val="000000"/>
          <w:spacing w:val="0"/>
        </w:rPr>
        <w:t>, including supporting infection prevention and control () best practice within the adult social care system</w:t>
      </w:r>
    </w:p>
    <w:p>
      <w:pPr>
        <w:pStyle w:val="TextBody"/>
        <w:numPr>
          <w:ilvl w:val="0"/>
          <w:numId w:val="1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embed lessons from COVID-19 to improve the adult social care system</w:t>
      </w:r>
    </w:p>
    <w:p>
      <w:pPr>
        <w:pStyle w:val="TextBody"/>
        <w:numPr>
          <w:ilvl w:val="0"/>
          <w:numId w:val="18"/>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contribute to work on effective and up-to-date COVID-19 guidance on the operation of adult social care day services</w:t>
      </w:r>
    </w:p>
    <w:p>
      <w:pPr>
        <w:pStyle w:val="Heading4"/>
        <w:bidi w:val="0"/>
        <w:jc w:val="left"/>
        <w:rPr>
          <w:rFonts w:ascii="webkit-standard" w:hAnsi="webkit-standard"/>
          <w:b w:val="false"/>
          <w:i w:val="false"/>
          <w:caps w:val="false"/>
          <w:smallCaps w:val="false"/>
          <w:color w:val="000000"/>
          <w:spacing w:val="0"/>
        </w:rPr>
      </w:pPr>
      <w:bookmarkStart w:id="11" w:name="health-equity-and-our-place-based-approa"/>
      <w:bookmarkEnd w:id="11"/>
      <w:r>
        <w:rPr>
          <w:rFonts w:ascii="webkit-standard" w:hAnsi="webkit-standard"/>
          <w:b w:val="false"/>
          <w:i w:val="false"/>
          <w:caps w:val="false"/>
          <w:smallCaps w:val="false"/>
          <w:color w:val="000000"/>
          <w:spacing w:val="0"/>
        </w:rPr>
        <w:t>Health equity and our place-based approach</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delivery of the ’s approach to health disparities, co-ordinating with partners to ensure all members of the community are, as far as possible, equally protected from health threats.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19"/>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develop and implement an internal  health equity strategy</w:t>
      </w:r>
    </w:p>
    <w:p>
      <w:pPr>
        <w:pStyle w:val="TextBody"/>
        <w:numPr>
          <w:ilvl w:val="0"/>
          <w:numId w:val="19"/>
        </w:numPr>
        <w:tabs>
          <w:tab w:val="clear" w:pos="420"/>
          <w:tab w:val="left" w:pos="707" w:leader="none"/>
        </w:tabs>
        <w:bidi w:val="0"/>
        <w:ind w:left="707" w:hanging="283"/>
        <w:jc w:val="left"/>
        <w:rPr/>
      </w:pPr>
      <w:r>
        <w:rPr>
          <w:rFonts w:ascii="webkit-standard" w:hAnsi="webkit-standard"/>
          <w:b w:val="false"/>
          <w:i w:val="false"/>
          <w:caps w:val="false"/>
          <w:smallCaps w:val="false"/>
          <w:color w:val="000000"/>
          <w:spacing w:val="0"/>
        </w:rPr>
        <w:t>protect the most deprived populations, including the </w:t>
      </w:r>
      <w:hyperlink r:id="rId25">
        <w:r>
          <w:rPr>
            <w:rStyle w:val="InternetLink"/>
            <w:rFonts w:ascii="webkit-standard" w:hAnsi="webkit-standard"/>
            <w:b w:val="false"/>
            <w:i w:val="false"/>
            <w:caps w:val="false"/>
            <w:smallCaps w:val="false"/>
            <w:color w:val="000000"/>
            <w:spacing w:val="0"/>
          </w:rPr>
          <w:t>Core20</w:t>
        </w:r>
      </w:hyperlink>
      <w:r>
        <w:rPr>
          <w:rFonts w:ascii="webkit-standard" w:hAnsi="webkit-standard"/>
          <w:b w:val="false"/>
          <w:i w:val="false"/>
          <w:caps w:val="false"/>
          <w:smallCaps w:val="false"/>
          <w:color w:val="000000"/>
          <w:spacing w:val="0"/>
        </w:rPr>
        <w:t> and inclusion health groups – such as people experiencing homelessness and rough sleeping, vulnerable migrants and detained populations – from the impact of infectious diseases and other health hazards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addition, in 2022 to 2023,  will support the development and delivery of an effective and proportionate COVID-19 testing regime within vulnerable settings, incorporating the different risk levels relative to the wider population</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enhance the resilience and scalability of national and local public health systems, including by incorporating lessons learned from COVID-19. As part of these core activities, it will strengthen resilience of national and local public health systems through the Future of the Local Health Protection programme. In addition, in 2022 to 2033,  will deliver a strategy and framework on future local health protection system by early 2023.</w:t>
      </w:r>
    </w:p>
    <w:p>
      <w:pPr>
        <w:pStyle w:val="Heading4"/>
        <w:bidi w:val="0"/>
        <w:jc w:val="left"/>
        <w:rPr>
          <w:rFonts w:ascii="webkit-standard" w:hAnsi="webkit-standard"/>
          <w:b w:val="false"/>
          <w:i w:val="false"/>
          <w:caps w:val="false"/>
          <w:smallCaps w:val="false"/>
          <w:color w:val="000000"/>
          <w:spacing w:val="0"/>
        </w:rPr>
      </w:pPr>
      <w:bookmarkStart w:id="12" w:name="antimicrobial-resistance"/>
      <w:bookmarkEnd w:id="12"/>
      <w:r>
        <w:rPr>
          <w:rFonts w:ascii="webkit-standard" w:hAnsi="webkit-standard"/>
          <w:b w:val="false"/>
          <w:i w:val="false"/>
          <w:caps w:val="false"/>
          <w:smallCaps w:val="false"/>
          <w:color w:val="000000"/>
          <w:spacing w:val="0"/>
        </w:rPr>
        <w:t>Antimicrobial resistance</w:t>
      </w:r>
    </w:p>
    <w:p>
      <w:pPr>
        <w:pStyle w:val="TextBody"/>
        <w:bidi w:val="0"/>
        <w:spacing w:lineRule="auto" w:line="276" w:before="0" w:after="140"/>
        <w:jc w:val="left"/>
        <w:rPr/>
      </w:pPr>
      <w:r>
        <w:rPr>
          <w:caps w:val="false"/>
          <w:smallCaps w:val="false"/>
          <w:color w:val="000000"/>
          <w:spacing w:val="0"/>
        </w:rPr>
        <w:t> </w:t>
      </w:r>
      <w:r>
        <w:rPr>
          <w:rFonts w:ascii="webkit-standard" w:hAnsi="webkit-standard"/>
          <w:b w:val="false"/>
          <w:i w:val="false"/>
          <w:caps w:val="false"/>
          <w:smallCaps w:val="false"/>
          <w:color w:val="000000"/>
          <w:spacing w:val="0"/>
        </w:rPr>
        <w:t>will support the government’s vision goal to contain, control and reduce harms from the spread of antimicrobial resistance () through delivery of ’s commitments in the </w:t>
      </w:r>
      <w:hyperlink r:id="rId26">
        <w:r>
          <w:rPr>
            <w:rStyle w:val="InternetLink"/>
            <w:rFonts w:ascii="webkit-standard" w:hAnsi="webkit-standard"/>
            <w:b w:val="false"/>
            <w:i w:val="false"/>
            <w:caps w:val="false"/>
            <w:smallCaps w:val="false"/>
            <w:color w:val="000000"/>
            <w:spacing w:val="0"/>
          </w:rPr>
          <w:t> 5-year action plan for antimicrobial resistance 2019 to 2024</w:t>
        </w:r>
      </w:hyperlink>
      <w:r>
        <w:rPr>
          <w:rFonts w:ascii="webkit-standard" w:hAnsi="webkit-standard"/>
          <w:b w:val="false"/>
          <w:i w:val="false"/>
          <w:caps w:val="false"/>
          <w:smallCaps w:val="false"/>
          <w:color w:val="000000"/>
          <w:spacing w:val="0"/>
        </w:rPr>
        <w:t> and supporting ’s work to develop the next 5-year national action plan.</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Additionally,  will support and lead, where necessary, the delivery of international commitments, providing technical expertise in relevant work packages of the Transatlantic Taskforce on  () and technical support as needed on effectiveness of international efforts to combat , including advice on potential new international commitments to be agreed at the UN High-level Meeting on  in 2024.</w:t>
      </w:r>
    </w:p>
    <w:p>
      <w:pPr>
        <w:pStyle w:val="Heading4"/>
        <w:bidi w:val="0"/>
        <w:jc w:val="left"/>
        <w:rPr>
          <w:rFonts w:ascii="webkit-standard" w:hAnsi="webkit-standard"/>
          <w:b w:val="false"/>
          <w:i w:val="false"/>
          <w:caps w:val="false"/>
          <w:smallCaps w:val="false"/>
          <w:color w:val="000000"/>
          <w:spacing w:val="0"/>
        </w:rPr>
      </w:pPr>
      <w:bookmarkStart w:id="13" w:name="sexually-transmitted-infections"/>
      <w:bookmarkEnd w:id="13"/>
      <w:r>
        <w:rPr>
          <w:rFonts w:ascii="webkit-standard" w:hAnsi="webkit-standard"/>
          <w:b w:val="false"/>
          <w:i w:val="false"/>
          <w:caps w:val="false"/>
          <w:smallCaps w:val="false"/>
          <w:color w:val="000000"/>
          <w:spacing w:val="0"/>
        </w:rPr>
        <w:t>Sexually transmitted infections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Build towards the goal of zero transmissions of HIV in England by 2030 by providing scientific and analytic expertise in the detection, prevention and control of sexually transmitted infections and HIV through agreed commitments and future strategies.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 support local authorities and NHS commissioning of sexual health, HIV and hepatitis service delivery in England, including through monitoring the impacts of disparities.</w:t>
      </w:r>
    </w:p>
    <w:p>
      <w:pPr>
        <w:pStyle w:val="TextBody"/>
        <w:bidi w:val="0"/>
        <w:spacing w:lineRule="auto" w:line="276" w:before="0" w:after="140"/>
        <w:jc w:val="left"/>
        <w:rPr/>
      </w:pPr>
      <w:r>
        <w:rPr>
          <w:rFonts w:ascii="webkit-standard" w:hAnsi="webkit-standard"/>
          <w:b w:val="false"/>
          <w:i w:val="false"/>
          <w:caps w:val="false"/>
          <w:smallCaps w:val="false"/>
          <w:color w:val="000000"/>
          <w:spacing w:val="0"/>
        </w:rPr>
        <w:t>In addition, in 2022 to 2023,  will contribute to the development and implementation of the government’s Sexual and Reproductive Health Action Plan for England. It will also support the commitment to eliminate HIV transmission by 2030 and implementation of the </w:t>
      </w:r>
      <w:hyperlink r:id="rId27">
        <w:r>
          <w:rPr>
            <w:rStyle w:val="InternetLink"/>
            <w:rFonts w:ascii="webkit-standard" w:hAnsi="webkit-standard"/>
            <w:b w:val="false"/>
            <w:i w:val="false"/>
            <w:caps w:val="false"/>
            <w:smallCaps w:val="false"/>
            <w:color w:val="000000"/>
            <w:spacing w:val="0"/>
          </w:rPr>
          <w:t>Towards Zero: the HIV Action Plan for England – 2022 to 2025</w:t>
        </w:r>
      </w:hyperlink>
      <w:r>
        <w:rPr>
          <w:rFonts w:ascii="webkit-standard" w:hAnsi="webkit-standard"/>
          <w:b w:val="false"/>
          <w:i w:val="false"/>
          <w:caps w:val="false"/>
          <w:smallCaps w:val="false"/>
          <w:color w:val="000000"/>
          <w:spacing w:val="0"/>
        </w:rPr>
        <w:t> jointly developed by  and .</w:t>
      </w:r>
    </w:p>
    <w:p>
      <w:pPr>
        <w:pStyle w:val="Heading4"/>
        <w:bidi w:val="0"/>
        <w:jc w:val="left"/>
        <w:rPr>
          <w:rFonts w:ascii="webkit-standard" w:hAnsi="webkit-standard"/>
          <w:b w:val="false"/>
          <w:i w:val="false"/>
          <w:caps w:val="false"/>
          <w:smallCaps w:val="false"/>
          <w:color w:val="000000"/>
          <w:spacing w:val="0"/>
        </w:rPr>
      </w:pPr>
      <w:bookmarkStart w:id="14" w:name="air-pollution"/>
      <w:bookmarkEnd w:id="14"/>
      <w:r>
        <w:rPr>
          <w:rFonts w:ascii="webkit-standard" w:hAnsi="webkit-standard"/>
          <w:b w:val="false"/>
          <w:i w:val="false"/>
          <w:caps w:val="false"/>
          <w:smallCaps w:val="false"/>
          <w:color w:val="000000"/>
          <w:spacing w:val="0"/>
        </w:rPr>
        <w:t>Air pollution</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ensure that , other government departments, the public and other stakeholders have up-to-date information on the health impacts of air pollution to encourage behaviour change at every level, and the actions to take to mitigate against health impacts, including health inequalities.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2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develop and share the evidence base on air quality impacts on health and actions to take to mitigate exposure, both outdoor and indoor</w:t>
      </w:r>
    </w:p>
    <w:p>
      <w:pPr>
        <w:pStyle w:val="TextBody"/>
        <w:numPr>
          <w:ilvl w:val="0"/>
          <w:numId w:val="2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improve on how information on the health impacts of air pollution is communicated</w:t>
      </w:r>
    </w:p>
    <w:p>
      <w:pPr>
        <w:pStyle w:val="TextBody"/>
        <w:numPr>
          <w:ilvl w:val="0"/>
          <w:numId w:val="20"/>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work to counter false narratives that threaten behavioural change through an evidence-based approach</w:t>
      </w:r>
    </w:p>
    <w:p>
      <w:pPr>
        <w:pStyle w:val="TextBody"/>
        <w:bidi w:val="0"/>
        <w:jc w:val="left"/>
        <w:rPr/>
      </w:pPr>
      <w:r>
        <w:rPr>
          <w:rFonts w:ascii="webkit-standard" w:hAnsi="webkit-standard"/>
          <w:b w:val="false"/>
          <w:i w:val="false"/>
          <w:caps w:val="false"/>
          <w:smallCaps w:val="false"/>
          <w:color w:val="000000"/>
          <w:spacing w:val="0"/>
        </w:rPr>
        <w:t>In addition, in 2022 to 2023,  will contribute to the cross-government commitments made in the </w:t>
      </w:r>
      <w:hyperlink r:id="rId28">
        <w:r>
          <w:rPr>
            <w:rStyle w:val="InternetLink"/>
            <w:rFonts w:ascii="webkit-standard" w:hAnsi="webkit-standard"/>
            <w:b w:val="false"/>
            <w:i w:val="false"/>
            <w:caps w:val="false"/>
            <w:smallCaps w:val="false"/>
            <w:color w:val="000000"/>
            <w:spacing w:val="0"/>
          </w:rPr>
          <w:t>Clean Air Strategy</w:t>
        </w:r>
      </w:hyperlink>
      <w:r>
        <w:rPr>
          <w:rFonts w:ascii="webkit-standard" w:hAnsi="webkit-standard"/>
          <w:b w:val="false"/>
          <w:i w:val="false"/>
          <w:caps w:val="false"/>
          <w:smallCaps w:val="false"/>
          <w:color w:val="000000"/>
          <w:spacing w:val="0"/>
        </w:rPr>
        <w:t> and in response to a Prevention of Future Deaths Report. In particular, it will lead on the provision of the evidence base in response to commitments to reduce fine particulate matter (PM2.5) in London and the south-east, and to work with  in support of this public commitment.</w:t>
      </w:r>
    </w:p>
    <w:p>
      <w:pPr>
        <w:pStyle w:val="Heading4"/>
        <w:bidi w:val="0"/>
        <w:jc w:val="left"/>
        <w:rPr>
          <w:rFonts w:ascii="webkit-standard" w:hAnsi="webkit-standard"/>
          <w:b w:val="false"/>
          <w:i w:val="false"/>
          <w:caps w:val="false"/>
          <w:smallCaps w:val="false"/>
          <w:color w:val="000000"/>
          <w:spacing w:val="0"/>
        </w:rPr>
      </w:pPr>
      <w:bookmarkStart w:id="15" w:name="health-and-climate-change"/>
      <w:bookmarkEnd w:id="15"/>
      <w:r>
        <w:rPr>
          <w:rFonts w:ascii="webkit-standard" w:hAnsi="webkit-standard"/>
          <w:b w:val="false"/>
          <w:i w:val="false"/>
          <w:caps w:val="false"/>
          <w:smallCaps w:val="false"/>
          <w:color w:val="000000"/>
          <w:spacing w:val="0"/>
        </w:rPr>
        <w:t>Health and climate change</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support the ’s COP26 commitments, which feed into building and bolstering a health system that is climate resilient.</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 provide expert scientific advice and support to , health and care system partners, and other government departments, to ensure the impact of climate change on public health, and on the delivery of health and care services, is considered as part of all system design.</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addition, in 2022 to 2023,  will:</w:t>
      </w:r>
    </w:p>
    <w:p>
      <w:pPr>
        <w:pStyle w:val="TextBody"/>
        <w:numPr>
          <w:ilvl w:val="0"/>
          <w:numId w:val="2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produce and implement the Single Adverse Weather and Health Plan</w:t>
      </w:r>
    </w:p>
    <w:p>
      <w:pPr>
        <w:pStyle w:val="TextBody"/>
        <w:numPr>
          <w:ilvl w:val="0"/>
          <w:numId w:val="2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reduce the evidence gap around the costs of extreme weather events and adaptation to the health and social care sectors, and stratifying interventions</w:t>
      </w:r>
    </w:p>
    <w:p>
      <w:pPr>
        <w:pStyle w:val="TextBody"/>
        <w:numPr>
          <w:ilvl w:val="0"/>
          <w:numId w:val="21"/>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expertise to support the delivery of actions and indicators for the third national adaptation programme, in order to protect health and social care delivery, and the public’s health from the impacts of climate change</w:t>
      </w:r>
    </w:p>
    <w:p>
      <w:pPr>
        <w:pStyle w:val="Heading4"/>
        <w:bidi w:val="0"/>
        <w:jc w:val="left"/>
        <w:rPr>
          <w:rFonts w:ascii="webkit-standard" w:hAnsi="webkit-standard"/>
          <w:b w:val="false"/>
          <w:i w:val="false"/>
          <w:caps w:val="false"/>
          <w:smallCaps w:val="false"/>
          <w:color w:val="000000"/>
          <w:spacing w:val="0"/>
        </w:rPr>
      </w:pPr>
      <w:bookmarkStart w:id="16" w:name="major-events"/>
      <w:bookmarkEnd w:id="16"/>
      <w:r>
        <w:rPr>
          <w:rFonts w:ascii="webkit-standard" w:hAnsi="webkit-standard"/>
          <w:b w:val="false"/>
          <w:i w:val="false"/>
          <w:caps w:val="false"/>
          <w:smallCaps w:val="false"/>
          <w:color w:val="000000"/>
          <w:spacing w:val="0"/>
        </w:rPr>
        <w:t>Major events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support preparations and provide public health guidance to host the 2022 Commonwealth Games and other major national public events safely, and contribute to cross-government initiatives where leads for the health sector, such as the Yarrow programme.</w:t>
      </w:r>
    </w:p>
    <w:p>
      <w:pPr>
        <w:pStyle w:val="Heading4"/>
        <w:bidi w:val="0"/>
        <w:jc w:val="left"/>
        <w:rPr>
          <w:rFonts w:ascii="webkit-standard" w:hAnsi="webkit-standard"/>
          <w:b w:val="false"/>
          <w:i w:val="false"/>
          <w:caps w:val="false"/>
          <w:smallCaps w:val="false"/>
          <w:color w:val="000000"/>
          <w:spacing w:val="0"/>
        </w:rPr>
      </w:pPr>
      <w:bookmarkStart w:id="17" w:name="border-health"/>
      <w:bookmarkEnd w:id="17"/>
      <w:r>
        <w:rPr>
          <w:rFonts w:ascii="webkit-standard" w:hAnsi="webkit-standard"/>
          <w:b w:val="false"/>
          <w:i w:val="false"/>
          <w:caps w:val="false"/>
          <w:smallCaps w:val="false"/>
          <w:color w:val="000000"/>
          <w:spacing w:val="0"/>
        </w:rPr>
        <w:t>Border health</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continue to support local authorities to deliver public health activity, including at the border, seaports, airports and rail crossings, to aid the local detection and management of outbreaks and help prevent wider community transmission. This includes: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22"/>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take the leading role nationally on the public health aspects of developing our Border Health Strategy to develop a strengthened vision for the future, including as part of the </w:t>
      </w:r>
      <w:hyperlink r:id="rId29">
        <w:r>
          <w:rPr>
            <w:rStyle w:val="InternetLink"/>
            <w:rFonts w:ascii="webkit-standard" w:hAnsi="webkit-standard"/>
            <w:b w:val="false"/>
            <w:i w:val="false"/>
            <w:caps w:val="false"/>
            <w:smallCaps w:val="false"/>
            <w:color w:val="000000"/>
            <w:spacing w:val="0"/>
          </w:rPr>
          <w:t>2025 Border Strategy</w:t>
        </w:r>
      </w:hyperlink>
      <w:r>
        <w:rPr>
          <w:rFonts w:ascii="webkit-standard" w:hAnsi="webkit-standard"/>
          <w:b w:val="false"/>
          <w:i w:val="false"/>
          <w:caps w:val="false"/>
          <w:smallCaps w:val="false"/>
          <w:color w:val="000000"/>
          <w:spacing w:val="0"/>
        </w:rPr>
        <w:t>. This includes contributing to:</w:t>
      </w:r>
    </w:p>
    <w:p>
      <w:pPr>
        <w:pStyle w:val="TextBody"/>
        <w:numPr>
          <w:ilvl w:val="1"/>
          <w:numId w:val="22"/>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evaluating and identifying any gaps in the border health system</w:t>
      </w:r>
    </w:p>
    <w:p>
      <w:pPr>
        <w:pStyle w:val="TextBody"/>
        <w:numPr>
          <w:ilvl w:val="1"/>
          <w:numId w:val="22"/>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determining the objectives we want to achieve</w:t>
      </w:r>
    </w:p>
    <w:p>
      <w:pPr>
        <w:pStyle w:val="TextBody"/>
        <w:numPr>
          <w:ilvl w:val="1"/>
          <w:numId w:val="22"/>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developing the capabilities we need to deliver them</w:t>
      </w:r>
    </w:p>
    <w:p>
      <w:pPr>
        <w:pStyle w:val="TextBody"/>
        <w:numPr>
          <w:ilvl w:val="0"/>
          <w:numId w:val="2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contribute to cross-government work led by the Department for Environment, Food and Rural Affairs () by providing specialist expertise to ensure that:</w:t>
      </w:r>
    </w:p>
    <w:p>
      <w:pPr>
        <w:pStyle w:val="TextBody"/>
        <w:numPr>
          <w:ilvl w:val="1"/>
          <w:numId w:val="22"/>
        </w:numPr>
        <w:tabs>
          <w:tab w:val="clear" w:pos="420"/>
          <w:tab w:val="left" w:pos="1414" w:leader="none"/>
        </w:tabs>
        <w:bidi w:val="0"/>
        <w:spacing w:before="0" w:after="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any future  import control regime for sanitary and phytosanitary goods does not have significant public health implications</w:t>
      </w:r>
    </w:p>
    <w:p>
      <w:pPr>
        <w:pStyle w:val="TextBody"/>
        <w:numPr>
          <w:ilvl w:val="1"/>
          <w:numId w:val="22"/>
        </w:numPr>
        <w:tabs>
          <w:tab w:val="clear" w:pos="420"/>
          <w:tab w:val="left" w:pos="1414" w:leader="none"/>
        </w:tabs>
        <w:bidi w:val="0"/>
        <w:ind w:left="1414"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there is sufficient operational capacity to carry out sampling and surveillance requirements at border control points</w:t>
      </w:r>
    </w:p>
    <w:p>
      <w:pPr>
        <w:pStyle w:val="Heading4"/>
        <w:bidi w:val="0"/>
        <w:jc w:val="left"/>
        <w:rPr>
          <w:rFonts w:ascii="webkit-standard" w:hAnsi="webkit-standard"/>
          <w:b w:val="false"/>
          <w:i w:val="false"/>
          <w:caps w:val="false"/>
          <w:smallCaps w:val="false"/>
          <w:color w:val="000000"/>
          <w:spacing w:val="0"/>
        </w:rPr>
      </w:pPr>
      <w:bookmarkStart w:id="18" w:name="science-hub"/>
      <w:bookmarkEnd w:id="18"/>
      <w:r>
        <w:rPr>
          <w:rFonts w:ascii="webkit-standard" w:hAnsi="webkit-standard"/>
          <w:b w:val="false"/>
          <w:i w:val="false"/>
          <w:caps w:val="false"/>
          <w:smallCaps w:val="false"/>
          <w:color w:val="000000"/>
          <w:spacing w:val="0"/>
        </w:rPr>
        <w:t>Science Hub</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support progression of the Science Hub Programme business case, which carries a significant investment, to create the future  infrastructure for public health scientific capabilities and capacity.</w:t>
      </w:r>
    </w:p>
    <w:p>
      <w:pPr>
        <w:pStyle w:val="Heading4"/>
        <w:bidi w:val="0"/>
        <w:jc w:val="left"/>
        <w:rPr>
          <w:rFonts w:ascii="webkit-standard" w:hAnsi="webkit-standard"/>
          <w:b w:val="false"/>
          <w:i w:val="false"/>
          <w:caps w:val="false"/>
          <w:smallCaps w:val="false"/>
          <w:color w:val="000000"/>
          <w:spacing w:val="0"/>
        </w:rPr>
      </w:pPr>
      <w:bookmarkStart w:id="19" w:name="research"/>
      <w:bookmarkEnd w:id="19"/>
      <w:r>
        <w:rPr>
          <w:rFonts w:ascii="webkit-standard" w:hAnsi="webkit-standard"/>
          <w:b w:val="false"/>
          <w:i w:val="false"/>
          <w:caps w:val="false"/>
          <w:smallCaps w:val="false"/>
          <w:color w:val="000000"/>
          <w:spacing w:val="0"/>
        </w:rPr>
        <w:t>Research</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conduct research to inform delivery of its aims in partnership with universities through the National Institute for Health and Care Research () Health Protection Research Units. It will also conduct additional research by securing funding through open competition, including from  research programmes and  Research and Innovation (), in partnership with academia and/or industry.</w:t>
      </w:r>
    </w:p>
    <w:p>
      <w:pPr>
        <w:pStyle w:val="Heading3"/>
        <w:bidi w:val="0"/>
        <w:jc w:val="left"/>
        <w:rPr>
          <w:rFonts w:ascii="webkit-standard" w:hAnsi="webkit-standard"/>
          <w:b w:val="false"/>
          <w:i w:val="false"/>
          <w:caps w:val="false"/>
          <w:smallCaps w:val="false"/>
          <w:color w:val="000000"/>
          <w:spacing w:val="0"/>
        </w:rPr>
      </w:pPr>
      <w:bookmarkStart w:id="20" w:name="prepare-for-future-health-security-hazar"/>
      <w:bookmarkEnd w:id="20"/>
      <w:r>
        <w:rPr>
          <w:rFonts w:ascii="webkit-standard" w:hAnsi="webkit-standard"/>
          <w:b w:val="false"/>
          <w:i w:val="false"/>
          <w:caps w:val="false"/>
          <w:smallCaps w:val="false"/>
          <w:color w:val="000000"/>
          <w:spacing w:val="0"/>
        </w:rPr>
        <w:t>2. Prepare for future health security hazards</w:t>
      </w:r>
    </w:p>
    <w:p>
      <w:pPr>
        <w:pStyle w:val="Heading4"/>
        <w:bidi w:val="0"/>
        <w:jc w:val="left"/>
        <w:rPr>
          <w:rFonts w:ascii="webkit-standard" w:hAnsi="webkit-standard"/>
          <w:b w:val="false"/>
          <w:i w:val="false"/>
          <w:caps w:val="false"/>
          <w:smallCaps w:val="false"/>
          <w:color w:val="000000"/>
          <w:spacing w:val="0"/>
        </w:rPr>
      </w:pPr>
      <w:bookmarkStart w:id="21" w:name="centre-for-pandemic-preparedness"/>
      <w:bookmarkEnd w:id="21"/>
      <w:r>
        <w:rPr>
          <w:rFonts w:ascii="webkit-standard" w:hAnsi="webkit-standard"/>
          <w:b w:val="false"/>
          <w:i w:val="false"/>
          <w:caps w:val="false"/>
          <w:smallCaps w:val="false"/>
          <w:color w:val="000000"/>
          <w:spacing w:val="0"/>
        </w:rPr>
        <w:t>Centre for Pandemic Preparedness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establish the Centre for Pandemic Preparedness () as a world-leading hub on all aspects of pandemic preparedness with a focus on securing the health of the  population.</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23"/>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work with partners across the health and social care system and wider government to deliver key elements of a new strategic programme on pandemic preparedness, such as future strategies for surveillance and diagnostics, including through working with system partners at the forefront of the COVID-19 response to capture lessons identified that will support preparedness planning</w:t>
      </w:r>
    </w:p>
    <w:p>
      <w:pPr>
        <w:pStyle w:val="TextBody"/>
        <w:numPr>
          <w:ilvl w:val="0"/>
          <w:numId w:val="23"/>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lead on the development of the  strategy along with providing support to  with existing pandemic preparedness policy and development of any future policy</w:t>
      </w:r>
    </w:p>
    <w:p>
      <w:pPr>
        <w:pStyle w:val="Heading4"/>
        <w:bidi w:val="0"/>
        <w:jc w:val="left"/>
        <w:rPr>
          <w:rFonts w:ascii="webkit-standard" w:hAnsi="webkit-standard"/>
          <w:b w:val="false"/>
          <w:i w:val="false"/>
          <w:caps w:val="false"/>
          <w:smallCaps w:val="false"/>
          <w:color w:val="000000"/>
          <w:spacing w:val="0"/>
        </w:rPr>
      </w:pPr>
      <w:bookmarkStart w:id="22" w:name="clinical-countermeasures"/>
      <w:bookmarkEnd w:id="22"/>
      <w:r>
        <w:rPr>
          <w:rFonts w:ascii="webkit-standard" w:hAnsi="webkit-standard"/>
          <w:b w:val="false"/>
          <w:i w:val="false"/>
          <w:caps w:val="false"/>
          <w:smallCaps w:val="false"/>
          <w:color w:val="000000"/>
          <w:spacing w:val="0"/>
        </w:rPr>
        <w:t>Clinical countermeasures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maintain a robust programme for the delivery of emergency clinical countermeasures. This includes the procurement, storage and deployment of countermeasures and stockpiled medicines, and the re-procurement of a pandemic-specific influenza vaccine advance purchase agreement.</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24"/>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and other partners to complete and implement the review of emergency clinical countermeasures</w:t>
      </w:r>
    </w:p>
    <w:p>
      <w:pPr>
        <w:pStyle w:val="TextBody"/>
        <w:numPr>
          <w:ilvl w:val="0"/>
          <w:numId w:val="24"/>
        </w:numPr>
        <w:tabs>
          <w:tab w:val="clear" w:pos="420"/>
          <w:tab w:val="left" w:pos="707" w:leader="none"/>
        </w:tabs>
        <w:bidi w:val="0"/>
        <w:ind w:left="707" w:hanging="283"/>
        <w:jc w:val="left"/>
        <w:rPr/>
      </w:pPr>
      <w:r>
        <w:rPr>
          <w:rFonts w:ascii="webkit-standard" w:hAnsi="webkit-standard"/>
          <w:b w:val="false"/>
          <w:i w:val="false"/>
          <w:caps w:val="false"/>
          <w:smallCaps w:val="false"/>
          <w:color w:val="000000"/>
          <w:spacing w:val="0"/>
        </w:rPr>
        <w:t>support a streamlined transition of antivirals and therapeutics functions in line with the </w:t>
      </w:r>
      <w:hyperlink r:id="rId30">
        <w:r>
          <w:rPr>
            <w:rStyle w:val="InternetLink"/>
            <w:rFonts w:ascii="webkit-standard" w:hAnsi="webkit-standard"/>
            <w:b w:val="false"/>
            <w:i w:val="false"/>
            <w:caps w:val="false"/>
            <w:smallCaps w:val="false"/>
            <w:color w:val="000000"/>
            <w:spacing w:val="0"/>
          </w:rPr>
          <w:t>COVID-19 Response: Living with COVID-19</w:t>
        </w:r>
      </w:hyperlink>
      <w:r>
        <w:rPr>
          <w:rFonts w:ascii="webkit-standard" w:hAnsi="webkit-standard"/>
          <w:b w:val="false"/>
          <w:i w:val="false"/>
          <w:caps w:val="false"/>
          <w:smallCaps w:val="false"/>
          <w:color w:val="000000"/>
          <w:spacing w:val="0"/>
        </w:rPr>
        <w:t> strategy. This may include contingency planning, security and resilience, and evaluation and benefits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provide proactive, timely and well-evidenced public health advice and scientific expertise to support decision-making to ensure a comprehensive operational response to health hazards, including .</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2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development and delivery of new research and mitigations, examining and countering areas of increasing consequence for health – such as disinformation and malicious cyber activity – that impact public health provision and infrastructure</w:t>
      </w:r>
    </w:p>
    <w:p>
      <w:pPr>
        <w:pStyle w:val="TextBody"/>
        <w:numPr>
          <w:ilvl w:val="0"/>
          <w:numId w:val="2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development of new policy frameworks, including data and intervention policy, to enable effective security responses to modern and digital threats to public health provision and infrastructure</w:t>
      </w:r>
    </w:p>
    <w:p>
      <w:pPr>
        <w:pStyle w:val="TextBody"/>
        <w:numPr>
          <w:ilvl w:val="0"/>
          <w:numId w:val="25"/>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to support contingency planning and operational response</w:t>
      </w:r>
    </w:p>
    <w:p>
      <w:pPr>
        <w:pStyle w:val="TextBody"/>
        <w:numPr>
          <w:ilvl w:val="0"/>
          <w:numId w:val="25"/>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to ensure the right mix of skills, training and capabilities are safely embedded within the public health workforce and system</w:t>
      </w:r>
    </w:p>
    <w:p>
      <w:pPr>
        <w:pStyle w:val="Heading4"/>
        <w:bidi w:val="0"/>
        <w:jc w:val="left"/>
        <w:rPr>
          <w:rFonts w:ascii="webkit-standard" w:hAnsi="webkit-standard"/>
          <w:b w:val="false"/>
          <w:i w:val="false"/>
          <w:caps w:val="false"/>
          <w:smallCaps w:val="false"/>
          <w:color w:val="000000"/>
          <w:spacing w:val="0"/>
        </w:rPr>
      </w:pPr>
      <w:bookmarkStart w:id="23" w:name="response-to-covid-19"/>
      <w:bookmarkEnd w:id="23"/>
      <w:r>
        <w:rPr>
          <w:rFonts w:ascii="webkit-standard" w:hAnsi="webkit-standard"/>
          <w:b w:val="false"/>
          <w:i w:val="false"/>
          <w:caps w:val="false"/>
          <w:smallCaps w:val="false"/>
          <w:color w:val="000000"/>
          <w:spacing w:val="0"/>
        </w:rPr>
        <w:t>Response to COVID-19</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Maintain a resilient system that can be scaled up as required to support the ongoing response to COVID-19 and other threats to health effectively.</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evaluate the efficacy of vaccines and vaccination programmes to control infection and hospitalisation</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evidence-based advice and expertise on the use of testing, pharmaceutical and non-pharmaceutical interventions, including at the border, as part of a contingency response</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symptomatic testing for patients in hospital for whom a test is required for clinical management or to support treatment pathways</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symptomatic testing for those eligible for COVID-19 treatments or who are at risk of getting seriously ill from COVID-19</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collaborate with  to support contingency planning and operational response</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lead the national infection prevention and controlling guidance for healthcare settings</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keep existing -owned public guidance on COVID-19 and other respiratory illnesses under review, and ensure that guidance is updated to reflect any changes to public health advice and government policy</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symptomatic testing for individuals who live or work in high-risk closed settings</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asymptomatic testing in periods of high prevalence for adult social care staff and a small number of visitors providing personal care, hospice staff, patient-facing staff in the NHS and NHS-funded independent healthcare provision, and prisons and places of detention (including immigration removal centres, homeless and night shelters, and domestic abuse refuges), Ministry of Defence settings and special educational needs and disability () residential settings</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testing to manage outbreaks in care homes</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COVID-19 surveillance in high-risk vulnerable settings, specifically of health care workers and in care homes</w:t>
      </w:r>
    </w:p>
    <w:p>
      <w:pPr>
        <w:pStyle w:val="TextBody"/>
        <w:numPr>
          <w:ilvl w:val="0"/>
          <w:numId w:val="26"/>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provide continued COVID-19 surveillance to understand community prevalence (including national or regional breakdowns including by age cohorts) through the Office for National Statistics’ </w:t>
      </w:r>
      <w:hyperlink r:id="rId31">
        <w:r>
          <w:rPr>
            <w:rStyle w:val="InternetLink"/>
            <w:rFonts w:ascii="webkit-standard" w:hAnsi="webkit-standard"/>
            <w:b w:val="false"/>
            <w:i w:val="false"/>
            <w:caps w:val="false"/>
            <w:smallCaps w:val="false"/>
            <w:color w:val="000000"/>
            <w:spacing w:val="0"/>
          </w:rPr>
          <w:t>Coronavirus (COVID-19) Infection Survey</w:t>
        </w:r>
      </w:hyperlink>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retain flexibility to respond to a resurgence of COVID-19, including the retention of a lateral flow test stockpile and capacity for surge testing through mobile testing units</w:t>
      </w:r>
    </w:p>
    <w:p>
      <w:pPr>
        <w:pStyle w:val="TextBody"/>
        <w:numPr>
          <w:ilvl w:val="0"/>
          <w:numId w:val="26"/>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genomic sequencing capacity for variant surveillance</w:t>
      </w:r>
    </w:p>
    <w:p>
      <w:pPr>
        <w:pStyle w:val="TextBody"/>
        <w:numPr>
          <w:ilvl w:val="0"/>
          <w:numId w:val="26"/>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continued  laboratory capacity</w:t>
      </w:r>
    </w:p>
    <w:p>
      <w:pPr>
        <w:pStyle w:val="Heading4"/>
        <w:bidi w:val="0"/>
        <w:jc w:val="left"/>
        <w:rPr>
          <w:rFonts w:ascii="webkit-standard" w:hAnsi="webkit-standard"/>
          <w:b w:val="false"/>
          <w:i w:val="false"/>
          <w:caps w:val="false"/>
          <w:smallCaps w:val="false"/>
          <w:color w:val="000000"/>
          <w:spacing w:val="0"/>
        </w:rPr>
      </w:pPr>
      <w:bookmarkStart w:id="24" w:name="health-security-and-intelligence"/>
      <w:bookmarkEnd w:id="24"/>
      <w:r>
        <w:rPr>
          <w:rFonts w:ascii="webkit-standard" w:hAnsi="webkit-standard"/>
          <w:b w:val="false"/>
          <w:i w:val="false"/>
          <w:caps w:val="false"/>
          <w:smallCaps w:val="false"/>
          <w:color w:val="000000"/>
          <w:spacing w:val="0"/>
        </w:rPr>
        <w:t>Health security and intelligence</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broaden and deepen a security culture within appropriate aspects of public health, building on the experience of our COVID-19 response to strengthen our approach to future health security threats, and ensure better compliance, higher uptake and a more secure public health landscape through the following measures.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its core activities,  will:</w:t>
      </w:r>
    </w:p>
    <w:p>
      <w:pPr>
        <w:pStyle w:val="TextBody"/>
        <w:numPr>
          <w:ilvl w:val="0"/>
          <w:numId w:val="2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use intelligence in horizon-scanning to identify threats to public health and infrastructure, and ensure ’s critical systems are protected</w:t>
      </w:r>
    </w:p>
    <w:p>
      <w:pPr>
        <w:pStyle w:val="TextBody"/>
        <w:numPr>
          <w:ilvl w:val="0"/>
          <w:numId w:val="2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qualitatively and quantitatively understand the risks that flow from identified threats</w:t>
      </w:r>
    </w:p>
    <w:p>
      <w:pPr>
        <w:pStyle w:val="TextBody"/>
        <w:numPr>
          <w:ilvl w:val="0"/>
          <w:numId w:val="2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deliver an approach that integrates security within public health, such as building in digital and physical resilience in vaccine supply chains</w:t>
      </w:r>
    </w:p>
    <w:p>
      <w:pPr>
        <w:pStyle w:val="TextBody"/>
        <w:numPr>
          <w:ilvl w:val="0"/>
          <w:numId w:val="2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ensure  is supported across government security relationships and intelligence with the view to tackle threats posed to the security and resilience of  health systems</w:t>
      </w:r>
    </w:p>
    <w:p>
      <w:pPr>
        <w:pStyle w:val="TextBody"/>
        <w:numPr>
          <w:ilvl w:val="0"/>
          <w:numId w:val="27"/>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deliver a response across all four nations and Crown dependencies to identify and tackle disinformation and misinformation narratives that pose a threat to public health</w:t>
      </w:r>
    </w:p>
    <w:p>
      <w:pPr>
        <w:pStyle w:val="TextBody"/>
        <w:numPr>
          <w:ilvl w:val="0"/>
          <w:numId w:val="27"/>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utilise the deep understanding of disinformation or misinformation narratives to inform communications teams and develop effective interventions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develop a robust health intelligence system that is accessible and integrated for the timely identification and prevention of public health threats reaching the .</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As part of these core activities,  will:</w:t>
      </w:r>
    </w:p>
    <w:p>
      <w:pPr>
        <w:pStyle w:val="TextBody"/>
        <w:numPr>
          <w:ilvl w:val="0"/>
          <w:numId w:val="2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with investigation and development of further collaboration with like-minded national and regional centres of excellence to advance the exchange of epidemiological skills, data interpretation, research and health intelligence</w:t>
      </w:r>
    </w:p>
    <w:p>
      <w:pPr>
        <w:pStyle w:val="TextBody"/>
        <w:numPr>
          <w:ilvl w:val="0"/>
          <w:numId w:val="28"/>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the development of the International Pathogen Surveillance Network and related  surveillance initiatives</w:t>
      </w:r>
    </w:p>
    <w:p>
      <w:pPr>
        <w:pStyle w:val="TextBody"/>
        <w:numPr>
          <w:ilvl w:val="0"/>
          <w:numId w:val="28"/>
        </w:numPr>
        <w:tabs>
          <w:tab w:val="clear" w:pos="420"/>
          <w:tab w:val="left" w:pos="707" w:leader="none"/>
        </w:tabs>
        <w:bidi w:val="0"/>
        <w:ind w:left="707" w:hanging="283"/>
        <w:jc w:val="left"/>
        <w:rPr/>
      </w:pPr>
      <w:r>
        <w:rPr>
          <w:rFonts w:ascii="webkit-standard" w:hAnsi="webkit-standard"/>
          <w:b w:val="false"/>
          <w:i w:val="false"/>
          <w:caps w:val="false"/>
          <w:smallCaps w:val="false"/>
          <w:color w:val="000000"/>
          <w:spacing w:val="0"/>
        </w:rPr>
        <w:t>work to support surveillance capacity-building in other countries, through the </w:t>
      </w:r>
      <w:hyperlink r:id="rId32">
        <w:r>
          <w:rPr>
            <w:rStyle w:val="InternetLink"/>
            <w:rFonts w:ascii="webkit-standard" w:hAnsi="webkit-standard"/>
            <w:b w:val="false"/>
            <w:i w:val="false"/>
            <w:caps w:val="false"/>
            <w:smallCaps w:val="false"/>
            <w:color w:val="000000"/>
            <w:spacing w:val="0"/>
          </w:rPr>
          <w:t>New Variant Assessment Platform</w:t>
        </w:r>
      </w:hyperlink>
      <w:r>
        <w:rPr>
          <w:rFonts w:ascii="webkit-standard" w:hAnsi="webkit-standard"/>
          <w:b w:val="false"/>
          <w:i w:val="false"/>
          <w:caps w:val="false"/>
          <w:smallCaps w:val="false"/>
          <w:color w:val="000000"/>
          <w:spacing w:val="0"/>
        </w:rPr>
        <w:t> or equivalent</w:t>
      </w:r>
    </w:p>
    <w:p>
      <w:pPr>
        <w:pStyle w:val="TextBody"/>
        <w:bidi w:val="0"/>
        <w:jc w:val="left"/>
        <w:rPr/>
      </w:pPr>
      <w:r>
        <w:rPr>
          <w:rFonts w:ascii="webkit-standard" w:hAnsi="webkit-standard"/>
          <w:b w:val="false"/>
          <w:i w:val="false"/>
          <w:caps w:val="false"/>
          <w:smallCaps w:val="false"/>
          <w:color w:val="000000"/>
          <w:spacing w:val="0"/>
        </w:rPr>
        <w:t>Additionally, in 2022 to 2023,  will support  to review and update the legal framework for health protection to best meet future health security needs. This includes any possible changes to the </w:t>
      </w:r>
      <w:hyperlink r:id="rId33">
        <w:r>
          <w:rPr>
            <w:rStyle w:val="InternetLink"/>
            <w:rFonts w:ascii="webkit-standard" w:hAnsi="webkit-standard"/>
            <w:b w:val="false"/>
            <w:i w:val="false"/>
            <w:caps w:val="false"/>
            <w:smallCaps w:val="false"/>
            <w:color w:val="000000"/>
            <w:spacing w:val="0"/>
          </w:rPr>
          <w:t>Public Health (Control of Disease) Act 1984</w:t>
        </w:r>
      </w:hyperlink>
      <w:r>
        <w:rPr>
          <w:rFonts w:ascii="webkit-standard" w:hAnsi="webkit-standard"/>
          <w:b w:val="false"/>
          <w:i w:val="false"/>
          <w:caps w:val="false"/>
          <w:smallCaps w:val="false"/>
          <w:color w:val="000000"/>
          <w:spacing w:val="0"/>
        </w:rPr>
        <w:t> and relevant secondary legislation, as well as any non-legislative levers as appropriate.  is responsible for providing expert public health, operational delivery and policy advice to support decision-making and implementation of any changes.</w:t>
      </w:r>
    </w:p>
    <w:p>
      <w:pPr>
        <w:pStyle w:val="Heading3"/>
        <w:bidi w:val="0"/>
        <w:jc w:val="left"/>
        <w:rPr>
          <w:rFonts w:ascii="webkit-standard" w:hAnsi="webkit-standard"/>
          <w:b w:val="false"/>
          <w:i w:val="false"/>
          <w:caps w:val="false"/>
          <w:smallCaps w:val="false"/>
          <w:color w:val="000000"/>
          <w:spacing w:val="0"/>
        </w:rPr>
      </w:pPr>
      <w:bookmarkStart w:id="25" w:name="strengthen-health-security-capability"/>
      <w:bookmarkEnd w:id="25"/>
      <w:r>
        <w:rPr>
          <w:rFonts w:ascii="webkit-standard" w:hAnsi="webkit-standard"/>
          <w:b w:val="false"/>
          <w:i w:val="false"/>
          <w:caps w:val="false"/>
          <w:smallCaps w:val="false"/>
          <w:color w:val="000000"/>
          <w:spacing w:val="0"/>
        </w:rPr>
        <w:t>3. Strengthen health security capability</w:t>
      </w:r>
    </w:p>
    <w:p>
      <w:pPr>
        <w:pStyle w:val="Heading4"/>
        <w:bidi w:val="0"/>
        <w:jc w:val="left"/>
        <w:rPr>
          <w:rFonts w:ascii="webkit-standard" w:hAnsi="webkit-standard"/>
          <w:b w:val="false"/>
          <w:i w:val="false"/>
          <w:caps w:val="false"/>
          <w:smallCaps w:val="false"/>
          <w:color w:val="000000"/>
          <w:spacing w:val="0"/>
        </w:rPr>
      </w:pPr>
      <w:bookmarkStart w:id="26" w:name="global-health"/>
      <w:bookmarkEnd w:id="26"/>
      <w:r>
        <w:rPr>
          <w:rFonts w:ascii="webkit-standard" w:hAnsi="webkit-standard"/>
          <w:b w:val="false"/>
          <w:i w:val="false"/>
          <w:caps w:val="false"/>
          <w:smallCaps w:val="false"/>
          <w:color w:val="000000"/>
          <w:spacing w:val="0"/>
        </w:rPr>
        <w:t>Global health</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deliver ongoing domestic health protection activity as the ’s focal point on the international health regulations in collaboration with the  and the  on incidents and outbreaks.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29"/>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contribute to the overarching goal of the </w:t>
      </w:r>
      <w:hyperlink r:id="rId34">
        <w:r>
          <w:rPr>
            <w:rStyle w:val="InternetLink"/>
            <w:rFonts w:ascii="webkit-standard" w:hAnsi="webkit-standard"/>
            <w:b w:val="false"/>
            <w:i w:val="false"/>
            <w:caps w:val="false"/>
            <w:smallCaps w:val="false"/>
            <w:color w:val="000000"/>
            <w:spacing w:val="0"/>
          </w:rPr>
          <w:t>Global Health Security Agenda</w:t>
        </w:r>
      </w:hyperlink>
      <w:r>
        <w:rPr>
          <w:rFonts w:ascii="webkit-standard" w:hAnsi="webkit-standard"/>
          <w:b w:val="false"/>
          <w:i w:val="false"/>
          <w:caps w:val="false"/>
          <w:smallCaps w:val="false"/>
          <w:color w:val="000000"/>
          <w:spacing w:val="0"/>
        </w:rPr>
        <w:t> for 100 countries to strengthen international health regulation capacities in at least 5 technical areas to a level of ‘demonstrated capacity’ by 2024</w:t>
      </w:r>
    </w:p>
    <w:p>
      <w:pPr>
        <w:pStyle w:val="TextBody"/>
        <w:numPr>
          <w:ilvl w:val="0"/>
          <w:numId w:val="29"/>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co-chair the Zoonotic Diseases Action Package with  and provide expert technical advice across other areas</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represent the  in the global health security infrastructure and fulfil international responsibilities. It will:</w:t>
      </w:r>
    </w:p>
    <w:p>
      <w:pPr>
        <w:pStyle w:val="TextBody"/>
        <w:numPr>
          <w:ilvl w:val="0"/>
          <w:numId w:val="3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actively engage and, where appropriate, lead cross-government One Health co-ordination to support delivery of the ’s G7 and G20 priorities, commitments and global efforts to mainstream a One Health approach</w:t>
      </w:r>
    </w:p>
    <w:p>
      <w:pPr>
        <w:pStyle w:val="TextBody"/>
        <w:numPr>
          <w:ilvl w:val="0"/>
          <w:numId w:val="3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improve global health systems for disease surveillance and pandemic preparedness, including genomic approaches and data sharing</w:t>
      </w:r>
    </w:p>
    <w:p>
      <w:pPr>
        <w:pStyle w:val="TextBody"/>
        <w:numPr>
          <w:ilvl w:val="0"/>
          <w:numId w:val="3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tackle , leading the  Collaborating Center for  and contributing to preparation for the UN High-level Meeting on </w:t>
      </w:r>
    </w:p>
    <w:p>
      <w:pPr>
        <w:pStyle w:val="TextBody"/>
        <w:numPr>
          <w:ilvl w:val="0"/>
          <w:numId w:val="3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support the ’s participation in the Global Health Security Initiative and leadership of the Global Health Security Agenda</w:t>
      </w:r>
    </w:p>
    <w:p>
      <w:pPr>
        <w:pStyle w:val="TextBody"/>
        <w:numPr>
          <w:ilvl w:val="0"/>
          <w:numId w:val="30"/>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establish activities to help strengthen the global clinical trials eco-system</w:t>
      </w:r>
    </w:p>
    <w:p>
      <w:pPr>
        <w:pStyle w:val="TextBody"/>
        <w:numPr>
          <w:ilvl w:val="0"/>
          <w:numId w:val="30"/>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engage on leadership of the ’s commitment to deliver vaccines, therapeutics and diagnostics within 100 days of a future pandemic threat being identified (the ‘100 days mission’)</w:t>
      </w:r>
    </w:p>
    <w:p>
      <w:pPr>
        <w:pStyle w:val="TextBody"/>
        <w:bidi w:val="0"/>
        <w:jc w:val="left"/>
        <w:rPr>
          <w:caps w:val="false"/>
          <w:smallCaps w:val="false"/>
          <w:color w:val="000000"/>
          <w:spacing w:val="0"/>
        </w:rPr>
      </w:pPr>
      <w:r>
        <w:rPr>
          <w:caps w:val="false"/>
          <w:smallCaps w:val="false"/>
          <w:color w:val="000000"/>
          <w:spacing w:val="0"/>
        </w:rPr>
        <w:t> </w:t>
      </w:r>
      <w:r>
        <w:rPr>
          <w:rFonts w:ascii="webkit-standard" w:hAnsi="webkit-standard"/>
          <w:b w:val="false"/>
          <w:i w:val="false"/>
          <w:caps w:val="false"/>
          <w:smallCaps w:val="false"/>
          <w:color w:val="000000"/>
          <w:spacing w:val="0"/>
        </w:rPr>
        <w:t>will assist the  in improving global surveillance, pandemic preparedness and response by providing expert input on public health issues.</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31"/>
        </w:numPr>
        <w:tabs>
          <w:tab w:val="clear" w:pos="420"/>
          <w:tab w:val="left" w:pos="707" w:leader="none"/>
        </w:tabs>
        <w:bidi w:val="0"/>
        <w:spacing w:before="0" w:after="0"/>
        <w:ind w:left="707" w:hanging="283"/>
        <w:jc w:val="left"/>
        <w:rPr/>
      </w:pPr>
      <w:r>
        <w:rPr>
          <w:rFonts w:ascii="webkit-standard" w:hAnsi="webkit-standard"/>
          <w:b w:val="false"/>
          <w:i w:val="false"/>
          <w:caps w:val="false"/>
          <w:smallCaps w:val="false"/>
          <w:color w:val="000000"/>
          <w:spacing w:val="0"/>
        </w:rPr>
        <w:t>contribute to the </w:t>
      </w:r>
      <w:hyperlink r:id="rId35">
        <w:r>
          <w:rPr>
            <w:rStyle w:val="InternetLink"/>
            <w:rFonts w:ascii="webkit-standard" w:hAnsi="webkit-standard"/>
            <w:b w:val="false"/>
            <w:i w:val="false"/>
            <w:caps w:val="false"/>
            <w:smallCaps w:val="false"/>
            <w:color w:val="000000"/>
            <w:spacing w:val="0"/>
          </w:rPr>
          <w:t> Immunization Agenda 2030</w:t>
        </w:r>
      </w:hyperlink>
      <w:r>
        <w:rPr>
          <w:rFonts w:ascii="webkit-standard" w:hAnsi="webkit-standard"/>
          <w:b w:val="false"/>
          <w:i w:val="false"/>
          <w:caps w:val="false"/>
          <w:smallCaps w:val="false"/>
          <w:color w:val="000000"/>
          <w:spacing w:val="0"/>
        </w:rPr>
        <w:t> initiative, and work together with  in analysing  and other international proposals particularly around health emergencies reform</w:t>
      </w:r>
    </w:p>
    <w:p>
      <w:pPr>
        <w:pStyle w:val="TextBody"/>
        <w:numPr>
          <w:ilvl w:val="0"/>
          <w:numId w:val="3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expert advice to , on the new Scientific Advisory Group for the Origins of Novel Pathogens, supporting  in carrying out transparent, science-led outbreak investigations that are essential to prepare for future outbreaks and minimise the risk of disease outbreaks growing into a pandemic</w:t>
      </w:r>
    </w:p>
    <w:p>
      <w:pPr>
        <w:pStyle w:val="TextBody"/>
        <w:numPr>
          <w:ilvl w:val="0"/>
          <w:numId w:val="31"/>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provide strategic and expert input and develop and implement global programmes to strengthen surveillance improvement, including genomic approaches and data sharing</w:t>
      </w:r>
    </w:p>
    <w:p>
      <w:pPr>
        <w:pStyle w:val="TextBody"/>
        <w:numPr>
          <w:ilvl w:val="0"/>
          <w:numId w:val="31"/>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strengthen international partnerships and collaboration as well as co-ordination and expertise within </w:t>
      </w:r>
    </w:p>
    <w:p>
      <w:pPr>
        <w:pStyle w:val="TextBody"/>
        <w:bidi w:val="0"/>
        <w:jc w:val="left"/>
        <w:rPr/>
      </w:pPr>
      <w:r>
        <w:rPr>
          <w:caps w:val="false"/>
          <w:smallCaps w:val="false"/>
          <w:color w:val="000000"/>
          <w:spacing w:val="0"/>
        </w:rPr>
        <w:t> </w:t>
      </w:r>
      <w:r>
        <w:rPr>
          <w:rFonts w:ascii="webkit-standard" w:hAnsi="webkit-standard"/>
          <w:b w:val="false"/>
          <w:i w:val="false"/>
          <w:caps w:val="false"/>
          <w:smallCaps w:val="false"/>
          <w:color w:val="000000"/>
          <w:spacing w:val="0"/>
        </w:rPr>
        <w:t>will deliver  </w:t>
      </w:r>
      <w:hyperlink r:id="rId36">
        <w:r>
          <w:rPr>
            <w:rStyle w:val="InternetLink"/>
            <w:rFonts w:ascii="webkit-standard" w:hAnsi="webkit-standard"/>
            <w:b w:val="false"/>
            <w:i w:val="false"/>
            <w:caps w:val="false"/>
            <w:smallCaps w:val="false"/>
            <w:color w:val="000000"/>
            <w:spacing w:val="0"/>
          </w:rPr>
          <w:t>Official Development Assistance</w:t>
        </w:r>
      </w:hyperlink>
      <w:r>
        <w:rPr>
          <w:rFonts w:ascii="webkit-standard" w:hAnsi="webkit-standard"/>
          <w:b w:val="false"/>
          <w:i w:val="false"/>
          <w:caps w:val="false"/>
          <w:smallCaps w:val="false"/>
          <w:color w:val="000000"/>
          <w:spacing w:val="0"/>
        </w:rPr>
        <w:t>-funded projects to support low and middle-income countries in building capacity to prevent, detect and respond to health threats, including the International Health Regulations Strengthening () project and, working closely with the London School of Hygiene and Tropical Medicine’s  Public Health Rapid Support Team ().</w:t>
      </w:r>
    </w:p>
    <w:p>
      <w:pPr>
        <w:pStyle w:val="TextBody"/>
        <w:bidi w:val="0"/>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In 2022 to 2023,  will:</w:t>
      </w:r>
    </w:p>
    <w:p>
      <w:pPr>
        <w:pStyle w:val="TextBody"/>
        <w:numPr>
          <w:ilvl w:val="0"/>
          <w:numId w:val="3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expand the scope of the  project to the  region</w:t>
      </w:r>
    </w:p>
    <w:p>
      <w:pPr>
        <w:pStyle w:val="TextBody"/>
        <w:numPr>
          <w:ilvl w:val="0"/>
          <w:numId w:val="32"/>
        </w:numPr>
        <w:tabs>
          <w:tab w:val="clear" w:pos="420"/>
          <w:tab w:val="left" w:pos="707" w:leader="none"/>
        </w:tabs>
        <w:bidi w:val="0"/>
        <w:spacing w:before="0" w:after="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agree and commence delivery of the  strategic framework and implementation plan</w:t>
      </w:r>
    </w:p>
    <w:p>
      <w:pPr>
        <w:pStyle w:val="TextBody"/>
        <w:numPr>
          <w:ilvl w:val="0"/>
          <w:numId w:val="32"/>
        </w:numPr>
        <w:tabs>
          <w:tab w:val="clear" w:pos="420"/>
          <w:tab w:val="left" w:pos="707" w:leader="none"/>
        </w:tabs>
        <w:bidi w:val="0"/>
        <w:ind w:left="707" w:hanging="283"/>
        <w:jc w:val="left"/>
        <w:rPr>
          <w:rFonts w:ascii="webkit-standard" w:hAnsi="webkit-standard"/>
          <w:b w:val="false"/>
          <w:i w:val="false"/>
          <w:caps w:val="false"/>
          <w:smallCaps w:val="false"/>
          <w:color w:val="000000"/>
          <w:spacing w:val="0"/>
        </w:rPr>
      </w:pPr>
      <w:r>
        <w:rPr>
          <w:rFonts w:ascii="webkit-standard" w:hAnsi="webkit-standard"/>
          <w:b w:val="false"/>
          <w:i w:val="false"/>
          <w:caps w:val="false"/>
          <w:smallCaps w:val="false"/>
          <w:color w:val="000000"/>
          <w:spacing w:val="0"/>
        </w:rPr>
        <w:t>form an agreement through scientific and technical collaboration with the European Centre for Disease Prevention and Control</w:t>
      </w:r>
    </w:p>
    <w:p>
      <w:pPr>
        <w:sectPr>
          <w:type w:val="continuous"/>
          <w:pgSz w:w="11906" w:h="16838"/>
          <w:pgMar w:left="1134" w:right="1134" w:gutter="0" w:header="0" w:top="1134" w:footer="0" w:bottom="1134"/>
          <w:formProt w:val="false"/>
          <w:textDirection w:val="lrTb"/>
        </w:sectPr>
      </w:pPr>
    </w:p>
    <w:p>
      <w:pPr>
        <w:pStyle w:val="Normal"/>
        <w:bidi w:val="0"/>
        <w:jc w:val="left"/>
        <w:rPr>
          <w:rFonts w:ascii="Avenir Next" w:hAnsi="Avenir Next"/>
          <w:sz w:val="22"/>
          <w:szCs w:val="22"/>
        </w:rPr>
      </w:pPr>
      <w:r>
        <w:rPr>
          <w:rFonts w:ascii="Avenir Next" w:hAnsi="Avenir Next"/>
          <w:sz w:val="22"/>
          <w:szCs w:val="22"/>
        </w:rPr>
      </w:r>
    </w:p>
    <w:sectPr>
      <w:type w:val="continuous"/>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Avenir Next">
    <w:charset w:val="01"/>
    <w:family w:val="auto"/>
    <w:pitch w:val="variable"/>
  </w:font>
  <w:font w:name="webkit-standard">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7"/>
        </w:tabs>
        <w:ind w:left="707" w:hanging="283"/>
      </w:pPr>
      <w:rPr/>
    </w:lvl>
    <w:lvl w:ilvl="1">
      <w:start w:val="1"/>
      <w:numFmt w:val="decimal"/>
      <w:lvlText w:val="%2."/>
      <w:lvlJc w:val="left"/>
      <w:pPr>
        <w:tabs>
          <w:tab w:val="num" w:pos="1414"/>
        </w:tabs>
        <w:ind w:left="1414" w:hanging="283"/>
      </w:pPr>
      <w:rPr/>
    </w:lvl>
    <w:lvl w:ilvl="2">
      <w:start w:val="1"/>
      <w:numFmt w:val="decimal"/>
      <w:lvlText w:val="%3."/>
      <w:lvlJc w:val="left"/>
      <w:pPr>
        <w:tabs>
          <w:tab w:val="num" w:pos="2121"/>
        </w:tabs>
        <w:ind w:left="2121" w:hanging="283"/>
      </w:pPr>
      <w:rPr/>
    </w:lvl>
    <w:lvl w:ilvl="3">
      <w:start w:val="1"/>
      <w:numFmt w:val="decimal"/>
      <w:lvlText w:val="%4."/>
      <w:lvlJc w:val="left"/>
      <w:pPr>
        <w:tabs>
          <w:tab w:val="num" w:pos="2828"/>
        </w:tabs>
        <w:ind w:left="2828" w:hanging="283"/>
      </w:pPr>
      <w:rPr/>
    </w:lvl>
    <w:lvl w:ilvl="4">
      <w:start w:val="1"/>
      <w:numFmt w:val="decimal"/>
      <w:lvlText w:val="%5."/>
      <w:lvlJc w:val="left"/>
      <w:pPr>
        <w:tabs>
          <w:tab w:val="num" w:pos="3535"/>
        </w:tabs>
        <w:ind w:left="3535" w:hanging="283"/>
      </w:pPr>
      <w:rPr/>
    </w:lvl>
    <w:lvl w:ilvl="5">
      <w:start w:val="1"/>
      <w:numFmt w:val="decimal"/>
      <w:lvlText w:val="%6."/>
      <w:lvlJc w:val="left"/>
      <w:pPr>
        <w:tabs>
          <w:tab w:val="num" w:pos="4242"/>
        </w:tabs>
        <w:ind w:left="4242" w:hanging="283"/>
      </w:pPr>
      <w:rPr/>
    </w:lvl>
    <w:lvl w:ilvl="6">
      <w:start w:val="1"/>
      <w:numFmt w:val="decimal"/>
      <w:lvlText w:val="%7."/>
      <w:lvlJc w:val="left"/>
      <w:pPr>
        <w:tabs>
          <w:tab w:val="num" w:pos="4949"/>
        </w:tabs>
        <w:ind w:left="4949" w:hanging="283"/>
      </w:pPr>
      <w:rPr/>
    </w:lvl>
    <w:lvl w:ilvl="7">
      <w:start w:val="1"/>
      <w:numFmt w:val="decimal"/>
      <w:lvlText w:val="%8."/>
      <w:lvlJc w:val="left"/>
      <w:pPr>
        <w:tabs>
          <w:tab w:val="num" w:pos="5656"/>
        </w:tabs>
        <w:ind w:left="5656" w:hanging="283"/>
      </w:pPr>
      <w:rPr/>
    </w:lvl>
    <w:lvl w:ilvl="8">
      <w:start w:val="1"/>
      <w:numFmt w:val="decimal"/>
      <w:lvlText w:val="%9."/>
      <w:lvlJc w:val="left"/>
      <w:pPr>
        <w:tabs>
          <w:tab w:val="num" w:pos="6363"/>
        </w:tabs>
        <w:ind w:left="6363" w:hanging="283"/>
      </w:pPr>
      <w:rPr/>
    </w:lvl>
  </w:abstractNum>
  <w:abstractNum w:abstractNumId="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4">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5">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7">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8">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9">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0">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1">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3">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4">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5">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7">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8">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9">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0">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1">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3">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4">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5">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7">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8">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9">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0">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1">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33">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pStyle w:val="Heading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w="http://schemas.openxmlformats.org/wordprocessingml/2006/main">
  <w:zoom w:percent="100"/>
  <w:defaultTabStop w:val="4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Songti SC" w:cs="Arial Unicode M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Songti SC" w:cs="Arial Unicode MS"/>
      <w:b/>
      <w:bCs/>
      <w:sz w:val="28"/>
      <w:szCs w:val="28"/>
    </w:rPr>
  </w:style>
  <w:style w:type="paragraph" w:styleId="Heading4">
    <w:name w:val="Heading 4"/>
    <w:basedOn w:val="Heading"/>
    <w:next w:val="TextBody"/>
    <w:qFormat/>
    <w:pPr>
      <w:spacing w:before="120" w:after="120"/>
      <w:outlineLvl w:val="3"/>
    </w:pPr>
    <w:rPr>
      <w:rFonts w:ascii="Liberation Serif" w:hAnsi="Liberation Serif" w:eastAsia="Songti SC" w:cs="Arial Unicode MS"/>
      <w:b/>
      <w:bCs/>
      <w:sz w:val="24"/>
      <w:szCs w:val="24"/>
    </w:rPr>
  </w:style>
  <w:style w:type="character" w:styleId="NumberingSymbols">
    <w:name w:val="Numbering Symbols"/>
    <w:qFormat/>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assets/government-frontend/open-government-licence-min-93b6a51b518ff99714a1aa2a7d2162735c155ec3cb073c75fb88b2a332fa83d3.png" TargetMode="External"/><Relationship Id="rId3" Type="http://schemas.openxmlformats.org/officeDocument/2006/relationships/hyperlink" Target="https://www.nationalarchives.gov.uk/doc/open-government-licence/version/3" TargetMode="External"/><Relationship Id="rId4" Type="http://schemas.openxmlformats.org/officeDocument/2006/relationships/hyperlink" Target="mailto:psi@nationalarchives.gov.uk" TargetMode="External"/><Relationship Id="rId5" Type="http://schemas.openxmlformats.org/officeDocument/2006/relationships/hyperlink" Target="https://www.gov.uk/government/publications/covid-19-response-living-with-covid-19" TargetMode="External"/><Relationship Id="rId6" Type="http://schemas.openxmlformats.org/officeDocument/2006/relationships/hyperlink" Target="https://www.gov.uk/government/publications/covid-19-response-living-with-covid-19" TargetMode="External"/><Relationship Id="rId7" Type="http://schemas.openxmlformats.org/officeDocument/2006/relationships/hyperlink" Target="https://www.gov.uk/government/publications/levelling-up-the-united-kingdom" TargetMode="External"/><Relationship Id="rId8" Type="http://schemas.openxmlformats.org/officeDocument/2006/relationships/hyperlink" Target="https://www.gov.uk/government/publications/department-of-health-and-social-care-outcome-delivery-plan" TargetMode="External"/><Relationship Id="rId9" Type="http://schemas.openxmlformats.org/officeDocument/2006/relationships/hyperlink" Target="https://www.longtermplan.nhs.uk/" TargetMode="External"/><Relationship Id="rId10" Type="http://schemas.openxmlformats.org/officeDocument/2006/relationships/hyperlink" Target="https://www.gov.uk/government/publications/global-britain-in-a-competitive-age-the-integrated-review-of-security-defence-development-and-foreign-policy" TargetMode="External"/><Relationship Id="rId11" Type="http://schemas.openxmlformats.org/officeDocument/2006/relationships/hyperlink" Target="https://www.gov.uk/government/publications/uk-governments-strategy-for-international-development" TargetMode="External"/><Relationship Id="rId12" Type="http://schemas.openxmlformats.org/officeDocument/2006/relationships/hyperlink" Target="https://www.gov.uk/government/publications/life-sciences-vision" TargetMode="External"/><Relationship Id="rId13" Type="http://schemas.openxmlformats.org/officeDocument/2006/relationships/hyperlink" Target="https://www.gov.uk/government/publications/framework-document-between-the-department-of-health-and-social-care-and-the-uk-health-security-agency" TargetMode="External"/><Relationship Id="rId14" Type="http://schemas.openxmlformats.org/officeDocument/2006/relationships/hyperlink" Target="https://covid19.public-inquiry.uk/" TargetMode="External"/><Relationship Id="rId15" Type="http://schemas.openxmlformats.org/officeDocument/2006/relationships/hyperlink" Target="https://www.gov.uk/government/publications/covid-19-response-living-with-covid-19" TargetMode="External"/><Relationship Id="rId16" Type="http://schemas.openxmlformats.org/officeDocument/2006/relationships/hyperlink" Target="https://www.legislation.gov.uk/ukpga/2004/36/contents" TargetMode="External"/><Relationship Id="rId17" Type="http://schemas.openxmlformats.org/officeDocument/2006/relationships/hyperlink" Target="https://www.gov.uk/government/consultations/national-resilience-strategy-call-for-evidence" TargetMode="External"/><Relationship Id="rId18" Type="http://schemas.openxmlformats.org/officeDocument/2006/relationships/hyperlink" Target="https://www.gov.uk/government/publications/civil-contingencies-act-2004-post-implementation-review-report-2022" TargetMode="External"/><Relationship Id="rId19" Type="http://schemas.openxmlformats.org/officeDocument/2006/relationships/hyperlink" Target="https://www.gov.uk/government/publications/public-health-protection-and-health-security-provisional-common-framework" TargetMode="External"/><Relationship Id="rId20" Type="http://schemas.openxmlformats.org/officeDocument/2006/relationships/hyperlink" Target="https://www.gov.uk/government/collections/immunisation-against-infectious-disease-the-green-book" TargetMode="External"/><Relationship Id="rId21" Type="http://schemas.openxmlformats.org/officeDocument/2006/relationships/hyperlink" Target="https://www.gov.uk/government/collections/health-profile-for-england" TargetMode="External"/><Relationship Id="rId22" Type="http://schemas.openxmlformats.org/officeDocument/2006/relationships/hyperlink" Target="https://fingertips.phe.org.uk/profile/public-health-outcomes-framework" TargetMode="External"/><Relationship Id="rId23" Type="http://schemas.openxmlformats.org/officeDocument/2006/relationships/hyperlink" Target="https://www.gov.uk/government/publications/tuberculosis-tb-action-plan-for-england" TargetMode="External"/><Relationship Id="rId24" Type="http://schemas.openxmlformats.org/officeDocument/2006/relationships/hyperlink" Target="https://www.gov.uk/government/publications/the-health-and-social-care-act-2008-code-of-practice-on-the-prevention-and-control-of-infections-and-related-guidance" TargetMode="External"/><Relationship Id="rId25" Type="http://schemas.openxmlformats.org/officeDocument/2006/relationships/hyperlink" Target="https://www.england.nhs.uk/about/equality/equality-hub/national-healthcare-inequalities-improvement-programme/core20plus5/" TargetMode="External"/><Relationship Id="rId26" Type="http://schemas.openxmlformats.org/officeDocument/2006/relationships/hyperlink" Target="https://www.gov.uk/government/publications/uk-5-year-action-plan-for-antimicrobial-resistance-2019-to-2024" TargetMode="External"/><Relationship Id="rId27" Type="http://schemas.openxmlformats.org/officeDocument/2006/relationships/hyperlink" Target="https://www.gov.uk/government/publications/towards-zero-the-hiv-action-plan-for-england-2022-to-2025" TargetMode="External"/><Relationship Id="rId28" Type="http://schemas.openxmlformats.org/officeDocument/2006/relationships/hyperlink" Target="https://www.gov.uk/government/publications/clean-air-strategy-2019" TargetMode="External"/><Relationship Id="rId29" Type="http://schemas.openxmlformats.org/officeDocument/2006/relationships/hyperlink" Target="https://www.gov.uk/government/publications/2025-uk-border-strategy" TargetMode="External"/><Relationship Id="rId30" Type="http://schemas.openxmlformats.org/officeDocument/2006/relationships/hyperlink" Target="https://www.gov.uk/government/publications/covid-19-response-living-with-covid-19" TargetMode="External"/><Relationship Id="rId31" Type="http://schemas.openxmlformats.org/officeDocument/2006/relationships/hyperlink" Target="https://www.ons.gov.uk/peoplepopulationandcommunity/healthandsocialcare/conditionsanddiseases/bulletins/coronaviruscovid19infectionsurveypilot/previousReleases" TargetMode="External"/><Relationship Id="rId32" Type="http://schemas.openxmlformats.org/officeDocument/2006/relationships/hyperlink" Target="https://www.gov.uk/guidance/new-variant-assessment-platform" TargetMode="External"/><Relationship Id="rId33" Type="http://schemas.openxmlformats.org/officeDocument/2006/relationships/hyperlink" Target="https://www.legislation.gov.uk/ukpga/1984/22" TargetMode="External"/><Relationship Id="rId34" Type="http://schemas.openxmlformats.org/officeDocument/2006/relationships/hyperlink" Target="https://ghsagenda.org/" TargetMode="External"/><Relationship Id="rId35" Type="http://schemas.openxmlformats.org/officeDocument/2006/relationships/hyperlink" Target="https://www.who.int/teams/immunization-vaccines-and-biologicals/strategies/ia2030" TargetMode="External"/><Relationship Id="rId36" Type="http://schemas.openxmlformats.org/officeDocument/2006/relationships/hyperlink" Target="https://www.gov.uk/government/collections/official-development-assistance-oda--2" TargetMode="External"/><Relationship Id="rId37" Type="http://schemas.openxmlformats.org/officeDocument/2006/relationships/numbering" Target="numbering.xml"/><Relationship Id="rId38" Type="http://schemas.openxmlformats.org/officeDocument/2006/relationships/fontTable" Target="fontTable.xml"/><Relationship Id="rId3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LibreOffice_Vanilla/7.2.5.2$MacOSX_X86_64 LibreOffice_project/499f9727c189e6ef3471021d6132d4c694f357e5</Application>
  <AppVersion>15.0000</AppVersion>
  <Pages>19</Pages>
  <Words>6119</Words>
  <Characters>35216</Characters>
  <CharactersWithSpaces>41103</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2022-12-02T14:13:55Z</dcterms:created>
  <dc:creator/>
  <dc:description/>
  <dc:language>en-GB</dc:language>
  <cp:lastModifiedBy/>
  <dcterms:modified xsi:type="dcterms:W3CDTF">2022-12-02T14:16:48Z</dcterms:modified>
  <cp:revision>1</cp:revision>
  <dc:subject/>
  <dc:title/>
</cp:coreProperties>
</file>